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pacing w:line="560" w:lineRule="exact"/>
        <w:jc w:val="center"/>
        <w:rPr>
          <w:rFonts w:ascii="华文仿宋" w:hAnsi="华文仿宋" w:eastAsia="华文仿宋" w:cs="Times New Roman"/>
          <w:color w:val="auto"/>
          <w:sz w:val="30"/>
          <w:szCs w:val="30"/>
          <w:highlight w:val="none"/>
        </w:rPr>
      </w:pPr>
      <w:r>
        <w:rPr>
          <w:rFonts w:ascii="华文仿宋" w:hAnsi="华文仿宋" w:eastAsia="华文仿宋" w:cs="Times New Roman"/>
          <w:color w:val="auto"/>
          <w:sz w:val="30"/>
          <w:szCs w:val="30"/>
          <w:highlight w:val="none"/>
        </w:rPr>
        <w:tab/>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b w:val="0"/>
          <w:color w:val="auto"/>
          <w:spacing w:val="0"/>
          <w:kern w:val="0"/>
          <w:sz w:val="44"/>
          <w:szCs w:val="44"/>
          <w:shd w:val="clear" w:color="auto" w:fill="FFFFFF"/>
          <w:lang w:val="en-US" w:eastAsia="zh-CN" w:bidi="ar-SA"/>
        </w:rPr>
      </w:pPr>
      <w:r>
        <w:rPr>
          <w:rFonts w:hint="eastAsia" w:ascii="Times New Roman" w:hAnsi="Times New Roman" w:eastAsia="方正小标宋简体" w:cs="Times New Roman"/>
          <w:b w:val="0"/>
          <w:color w:val="auto"/>
          <w:spacing w:val="0"/>
          <w:kern w:val="0"/>
          <w:sz w:val="44"/>
          <w:szCs w:val="44"/>
          <w:shd w:val="clear" w:color="auto" w:fill="FFFFFF"/>
          <w:lang w:val="en-US" w:eastAsia="zh-CN" w:bidi="ar-SA"/>
        </w:rPr>
        <w:t>《企业安全生产费用提取和使用管理办法》</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s="Times New Roman"/>
          <w:b w:val="0"/>
          <w:color w:val="auto"/>
          <w:spacing w:val="0"/>
          <w:kern w:val="0"/>
          <w:sz w:val="44"/>
          <w:szCs w:val="44"/>
          <w:shd w:val="clear" w:color="auto" w:fill="FFFFFF"/>
          <w:lang w:val="en-US" w:eastAsia="zh-CN" w:bidi="ar-SA"/>
        </w:rPr>
      </w:pPr>
      <w:r>
        <w:rPr>
          <w:rFonts w:hint="eastAsia" w:ascii="Times New Roman" w:hAnsi="Times New Roman" w:eastAsia="方正小标宋简体" w:cs="Times New Roman"/>
          <w:b w:val="0"/>
          <w:color w:val="auto"/>
          <w:spacing w:val="0"/>
          <w:kern w:val="0"/>
          <w:sz w:val="44"/>
          <w:szCs w:val="44"/>
          <w:shd w:val="clear" w:color="auto" w:fill="FFFFFF"/>
          <w:lang w:val="en-US" w:eastAsia="zh-CN" w:bidi="ar-SA"/>
        </w:rPr>
        <w:t>解    读</w:t>
      </w:r>
    </w:p>
    <w:p>
      <w:pPr>
        <w:keepNext w:val="0"/>
        <w:keepLines w:val="0"/>
        <w:pageBreakBefore w:val="0"/>
        <w:widowControl w:val="0"/>
        <w:kinsoku/>
        <w:wordWrap/>
        <w:overflowPunct/>
        <w:topLinePunct w:val="0"/>
        <w:bidi w:val="0"/>
        <w:spacing w:line="560" w:lineRule="exact"/>
        <w:jc w:val="center"/>
        <w:rPr>
          <w:rFonts w:ascii="华文中宋" w:hAnsi="华文中宋" w:eastAsia="华文中宋" w:cs="宋体"/>
          <w:b/>
          <w:bCs/>
          <w:color w:val="auto"/>
          <w:kern w:val="0"/>
          <w:sz w:val="52"/>
          <w:szCs w:val="52"/>
          <w:highlight w:val="none"/>
        </w:rPr>
      </w:pPr>
    </w:p>
    <w:p>
      <w:pPr>
        <w:pStyle w:val="54"/>
        <w:keepNext w:val="0"/>
        <w:keepLines w:val="0"/>
        <w:pageBreakBefore w:val="0"/>
        <w:widowControl w:val="0"/>
        <w:tabs>
          <w:tab w:val="left" w:pos="2145"/>
          <w:tab w:val="center" w:pos="4153"/>
        </w:tabs>
        <w:kinsoku/>
        <w:wordWrap/>
        <w:overflowPunct/>
        <w:topLinePunct w:val="0"/>
        <w:bidi w:val="0"/>
        <w:spacing w:before="0" w:after="0" w:line="560" w:lineRule="exact"/>
        <w:ind w:firstLine="640" w:firstLineChars="200"/>
        <w:jc w:val="both"/>
        <w:rPr>
          <w:rStyle w:val="61"/>
          <w:rFonts w:hint="eastAsia" w:eastAsia="仿宋_GB2312"/>
          <w:b w:val="0"/>
          <w:bCs w:val="0"/>
          <w:color w:val="auto"/>
          <w:spacing w:val="0"/>
          <w:sz w:val="32"/>
          <w:szCs w:val="32"/>
          <w:lang w:val="en-US" w:eastAsia="zh-CN" w:bidi="ar"/>
        </w:rPr>
      </w:pPr>
    </w:p>
    <w:p>
      <w:pPr>
        <w:pStyle w:val="54"/>
        <w:keepNext w:val="0"/>
        <w:keepLines w:val="0"/>
        <w:pageBreakBefore w:val="0"/>
        <w:widowControl w:val="0"/>
        <w:tabs>
          <w:tab w:val="left" w:pos="2145"/>
          <w:tab w:val="center" w:pos="4153"/>
        </w:tabs>
        <w:kinsoku/>
        <w:wordWrap/>
        <w:overflowPunct/>
        <w:topLinePunct w:val="0"/>
        <w:bidi w:val="0"/>
        <w:spacing w:before="0" w:after="0" w:line="560" w:lineRule="exact"/>
        <w:ind w:firstLine="640" w:firstLineChars="200"/>
        <w:jc w:val="both"/>
        <w:rPr>
          <w:rStyle w:val="61"/>
          <w:rFonts w:hint="eastAsia" w:eastAsia="仿宋_GB2312"/>
          <w:b w:val="0"/>
          <w:bCs w:val="0"/>
          <w:color w:val="auto"/>
          <w:spacing w:val="0"/>
          <w:sz w:val="32"/>
          <w:szCs w:val="32"/>
          <w:lang w:val="en-US" w:eastAsia="zh-CN" w:bidi="ar"/>
        </w:rPr>
      </w:pPr>
      <w:bookmarkStart w:id="38" w:name="_GoBack"/>
      <w:bookmarkEnd w:id="38"/>
      <w:r>
        <w:rPr>
          <w:rStyle w:val="61"/>
          <w:rFonts w:hint="eastAsia" w:eastAsia="仿宋_GB2312"/>
          <w:b w:val="0"/>
          <w:bCs w:val="0"/>
          <w:color w:val="auto"/>
          <w:spacing w:val="0"/>
          <w:sz w:val="32"/>
          <w:szCs w:val="32"/>
          <w:lang w:val="en-US" w:eastAsia="zh-CN" w:bidi="ar"/>
        </w:rPr>
        <w:t>为贯彻安全发展新理念，推动企业落实主体责任，加强企业安全生产投入，根据《中华人民共和国安全生产法》等法律法规，财政部、应急部印发了《企业安全生产费用提取和使用管理办法》（财资〔2022〕136号）（以下简称《办法》）。为便于相关行业企业和有关部门准确理解和把握《办法》，更好地发挥《办法》促进企业建立安全生产投入长效机制作用，现对《办法》条款进行解释说明。</w:t>
      </w:r>
      <w:r>
        <w:rPr>
          <w:rStyle w:val="61"/>
          <w:rFonts w:hint="eastAsia" w:eastAsia="仿宋_GB2312"/>
          <w:b w:val="0"/>
          <w:bCs w:val="0"/>
          <w:color w:val="auto"/>
          <w:spacing w:val="0"/>
          <w:sz w:val="32"/>
          <w:szCs w:val="32"/>
          <w:lang w:val="en-US" w:eastAsia="zh-CN" w:bidi="ar"/>
        </w:rPr>
        <w:tab/>
      </w:r>
    </w:p>
    <w:p>
      <w:pPr>
        <w:keepNext w:val="0"/>
        <w:keepLines w:val="0"/>
        <w:pageBreakBefore w:val="0"/>
        <w:widowControl w:val="0"/>
        <w:kinsoku/>
        <w:wordWrap/>
        <w:overflowPunct/>
        <w:topLinePunct w:val="0"/>
        <w:bidi w:val="0"/>
        <w:spacing w:line="560" w:lineRule="exact"/>
        <w:rPr>
          <w:rStyle w:val="61"/>
          <w:rFonts w:hint="eastAsia" w:eastAsia="仿宋_GB2312"/>
          <w:b w:val="0"/>
          <w:bCs w:val="0"/>
          <w:color w:val="auto"/>
          <w:spacing w:val="0"/>
          <w:sz w:val="32"/>
          <w:szCs w:val="32"/>
          <w:lang w:val="en-US" w:eastAsia="zh-CN" w:bidi="ar"/>
        </w:rPr>
      </w:pPr>
    </w:p>
    <w:p>
      <w:pPr>
        <w:pStyle w:val="2"/>
        <w:keepNext w:val="0"/>
        <w:keepLines w:val="0"/>
        <w:pageBreakBefore w:val="0"/>
        <w:widowControl w:val="0"/>
        <w:kinsoku/>
        <w:wordWrap/>
        <w:overflowPunct/>
        <w:topLinePunct w:val="0"/>
        <w:bidi w:val="0"/>
        <w:spacing w:after="0" w:line="560" w:lineRule="exact"/>
        <w:rPr>
          <w:rStyle w:val="61"/>
          <w:rFonts w:hint="eastAsia" w:eastAsia="仿宋_GB2312"/>
          <w:b w:val="0"/>
          <w:bCs w:val="0"/>
          <w:color w:val="auto"/>
          <w:spacing w:val="0"/>
          <w:sz w:val="32"/>
          <w:szCs w:val="32"/>
          <w:lang w:val="en-US" w:eastAsia="zh-CN" w:bidi="ar"/>
        </w:rPr>
      </w:pPr>
    </w:p>
    <w:p>
      <w:pPr>
        <w:keepNext w:val="0"/>
        <w:keepLines w:val="0"/>
        <w:pageBreakBefore w:val="0"/>
        <w:widowControl w:val="0"/>
        <w:kinsoku/>
        <w:wordWrap/>
        <w:overflowPunct/>
        <w:topLinePunct w:val="0"/>
        <w:bidi w:val="0"/>
        <w:spacing w:line="560" w:lineRule="exact"/>
        <w:rPr>
          <w:rFonts w:hint="eastAsia"/>
          <w:color w:val="auto"/>
          <w:lang w:val="en-US" w:eastAsia="zh-CN"/>
        </w:rPr>
        <w:sectPr>
          <w:footerReference r:id="rId4" w:type="first"/>
          <w:footerReference r:id="rId3" w:type="default"/>
          <w:pgSz w:w="11906" w:h="16838"/>
          <w:pgMar w:top="2098" w:right="1474" w:bottom="1984" w:left="1587" w:header="851" w:footer="992" w:gutter="0"/>
          <w:pgNumType w:fmt="decimal" w:start="1"/>
          <w:cols w:space="425" w:num="1"/>
          <w:titlePg/>
          <w:docGrid w:type="lines" w:linePitch="312" w:charSpace="0"/>
        </w:sectPr>
      </w:pPr>
    </w:p>
    <w:sdt>
      <w:sdtPr>
        <w:rPr>
          <w:rFonts w:asciiTheme="minorHAnsi" w:hAnsiTheme="minorHAnsi" w:eastAsiaTheme="minorEastAsia" w:cstheme="minorBidi"/>
          <w:color w:val="auto"/>
          <w:kern w:val="2"/>
          <w:sz w:val="21"/>
          <w:szCs w:val="22"/>
          <w:highlight w:val="none"/>
          <w:lang w:val="zh-CN"/>
        </w:rPr>
        <w:id w:val="589052542"/>
        <w:docPartObj>
          <w:docPartGallery w:val="Table of Contents"/>
          <w:docPartUnique/>
        </w:docPartObj>
      </w:sdtPr>
      <w:sdtEndPr>
        <w:rPr>
          <w:rFonts w:asciiTheme="minorHAnsi" w:hAnsiTheme="minorHAnsi" w:eastAsiaTheme="minorEastAsia" w:cstheme="minorBidi"/>
          <w:b/>
          <w:bCs/>
          <w:color w:val="auto"/>
          <w:kern w:val="2"/>
          <w:sz w:val="21"/>
          <w:szCs w:val="22"/>
          <w:highlight w:val="none"/>
          <w:lang w:val="zh-CN"/>
        </w:rPr>
      </w:sdtEndPr>
      <w:sdtContent>
        <w:p>
          <w:pPr>
            <w:pStyle w:val="59"/>
            <w:keepNext w:val="0"/>
            <w:keepLines w:val="0"/>
            <w:pageBreakBefore w:val="0"/>
            <w:widowControl w:val="0"/>
            <w:kinsoku/>
            <w:wordWrap/>
            <w:overflowPunct/>
            <w:topLinePunct w:val="0"/>
            <w:bidi w:val="0"/>
            <w:spacing w:before="0" w:after="0" w:line="560" w:lineRule="exact"/>
            <w:jc w:val="center"/>
            <w:rPr>
              <w:rFonts w:ascii="黑体" w:hAnsi="黑体" w:eastAsia="黑体" w:cs="Times New Roman"/>
              <w:color w:val="auto"/>
              <w:sz w:val="44"/>
              <w:szCs w:val="44"/>
              <w:highlight w:val="none"/>
            </w:rPr>
          </w:pPr>
          <w:r>
            <w:rPr>
              <w:rFonts w:ascii="黑体" w:hAnsi="黑体" w:eastAsia="黑体" w:cs="Times New Roman"/>
              <w:color w:val="auto"/>
              <w:sz w:val="44"/>
              <w:szCs w:val="44"/>
              <w:highlight w:val="none"/>
              <w:lang w:val="zh-CN"/>
            </w:rPr>
            <w:t>目</w:t>
          </w:r>
          <w:r>
            <w:rPr>
              <w:rFonts w:hint="eastAsia" w:ascii="黑体" w:hAnsi="黑体" w:eastAsia="黑体" w:cs="Times New Roman"/>
              <w:color w:val="auto"/>
              <w:sz w:val="44"/>
              <w:szCs w:val="44"/>
              <w:highlight w:val="none"/>
              <w:lang w:val="zh-CN"/>
            </w:rPr>
            <w:t xml:space="preserve"> </w:t>
          </w:r>
          <w:r>
            <w:rPr>
              <w:rFonts w:ascii="黑体" w:hAnsi="黑体" w:eastAsia="黑体" w:cs="Times New Roman"/>
              <w:color w:val="auto"/>
              <w:sz w:val="44"/>
              <w:szCs w:val="44"/>
              <w:highlight w:val="none"/>
              <w:lang w:val="zh-CN"/>
            </w:rPr>
            <w:t>录</w:t>
          </w:r>
        </w:p>
        <w:p>
          <w:pPr>
            <w:pStyle w:val="18"/>
            <w:keepNext w:val="0"/>
            <w:keepLines w:val="0"/>
            <w:pageBreakBefore w:val="0"/>
            <w:widowControl w:val="0"/>
            <w:kinsoku/>
            <w:wordWrap/>
            <w:overflowPunct/>
            <w:topLinePunct w:val="0"/>
            <w:bidi w:val="0"/>
            <w:spacing w:line="560" w:lineRule="exact"/>
            <w:rPr>
              <w:b w:val="0"/>
              <w:bCs w:val="0"/>
              <w:color w:val="auto"/>
              <w:sz w:val="32"/>
              <w:szCs w:val="32"/>
              <w:highlight w:val="none"/>
              <w14:ligatures w14:val="standardContextual"/>
            </w:rPr>
          </w:pPr>
          <w:r>
            <w:rPr>
              <w:color w:val="auto"/>
              <w:sz w:val="32"/>
              <w:szCs w:val="32"/>
              <w:highlight w:val="none"/>
            </w:rPr>
            <w:fldChar w:fldCharType="begin"/>
          </w:r>
          <w:r>
            <w:rPr>
              <w:color w:val="auto"/>
              <w:sz w:val="32"/>
              <w:szCs w:val="32"/>
              <w:highlight w:val="none"/>
            </w:rPr>
            <w:instrText xml:space="preserve"> TOC \o "1-3" \h \z \u </w:instrText>
          </w:r>
          <w:r>
            <w:rPr>
              <w:color w:val="auto"/>
              <w:sz w:val="32"/>
              <w:szCs w:val="32"/>
              <w:highlight w:val="none"/>
            </w:rPr>
            <w:fldChar w:fldCharType="separate"/>
          </w:r>
          <w:r>
            <w:rPr>
              <w:color w:val="auto"/>
              <w:highlight w:val="none"/>
            </w:rPr>
            <w:fldChar w:fldCharType="begin"/>
          </w:r>
          <w:r>
            <w:rPr>
              <w:color w:val="auto"/>
              <w:highlight w:val="none"/>
            </w:rPr>
            <w:instrText xml:space="preserve"> HYPERLINK \l "_Toc152145206" </w:instrText>
          </w:r>
          <w:r>
            <w:rPr>
              <w:color w:val="auto"/>
              <w:highlight w:val="none"/>
            </w:rPr>
            <w:fldChar w:fldCharType="separate"/>
          </w:r>
          <w:r>
            <w:rPr>
              <w:rStyle w:val="28"/>
              <w:b w:val="0"/>
              <w:color w:val="auto"/>
              <w:sz w:val="32"/>
              <w:szCs w:val="32"/>
              <w:highlight w:val="none"/>
            </w:rPr>
            <w:t>第一章 总 则</w:t>
          </w:r>
          <w:r>
            <w:rPr>
              <w:b w:val="0"/>
              <w:color w:val="auto"/>
              <w:sz w:val="32"/>
              <w:szCs w:val="32"/>
              <w:highlight w:val="none"/>
            </w:rPr>
            <w:tab/>
          </w:r>
          <w:r>
            <w:rPr>
              <w:b w:val="0"/>
              <w:color w:val="auto"/>
              <w:sz w:val="32"/>
              <w:szCs w:val="32"/>
              <w:highlight w:val="none"/>
            </w:rPr>
            <w:fldChar w:fldCharType="begin"/>
          </w:r>
          <w:r>
            <w:rPr>
              <w:b w:val="0"/>
              <w:color w:val="auto"/>
              <w:sz w:val="32"/>
              <w:szCs w:val="32"/>
              <w:highlight w:val="none"/>
            </w:rPr>
            <w:instrText xml:space="preserve"> PAGEREF _Toc152145206 \h </w:instrText>
          </w:r>
          <w:r>
            <w:rPr>
              <w:b w:val="0"/>
              <w:color w:val="auto"/>
              <w:sz w:val="32"/>
              <w:szCs w:val="32"/>
              <w:highlight w:val="none"/>
            </w:rPr>
            <w:fldChar w:fldCharType="separate"/>
          </w:r>
          <w:r>
            <w:rPr>
              <w:b w:val="0"/>
              <w:color w:val="auto"/>
              <w:sz w:val="32"/>
              <w:szCs w:val="32"/>
              <w:highlight w:val="none"/>
            </w:rPr>
            <w:t>1</w:t>
          </w:r>
          <w:r>
            <w:rPr>
              <w:b w:val="0"/>
              <w:color w:val="auto"/>
              <w:sz w:val="32"/>
              <w:szCs w:val="32"/>
              <w:highlight w:val="none"/>
            </w:rPr>
            <w:fldChar w:fldCharType="end"/>
          </w:r>
          <w:r>
            <w:rPr>
              <w:b w:val="0"/>
              <w:color w:val="auto"/>
              <w:sz w:val="32"/>
              <w:szCs w:val="32"/>
              <w:highlight w:val="none"/>
            </w:rPr>
            <w:fldChar w:fldCharType="end"/>
          </w:r>
        </w:p>
        <w:p>
          <w:pPr>
            <w:pStyle w:val="18"/>
            <w:keepNext w:val="0"/>
            <w:keepLines w:val="0"/>
            <w:pageBreakBefore w:val="0"/>
            <w:widowControl w:val="0"/>
            <w:kinsoku/>
            <w:wordWrap/>
            <w:overflowPunct/>
            <w:topLinePunct w:val="0"/>
            <w:bidi w:val="0"/>
            <w:spacing w:line="560" w:lineRule="exact"/>
            <w:rPr>
              <w:b w:val="0"/>
              <w:bCs w:val="0"/>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"_Toc152145207" </w:instrText>
          </w:r>
          <w:r>
            <w:rPr>
              <w:color w:val="auto"/>
              <w:highlight w:val="none"/>
            </w:rPr>
            <w:fldChar w:fldCharType="separate"/>
          </w:r>
          <w:r>
            <w:rPr>
              <w:rStyle w:val="28"/>
              <w:b w:val="0"/>
              <w:color w:val="auto"/>
              <w:sz w:val="32"/>
              <w:szCs w:val="32"/>
              <w:highlight w:val="none"/>
            </w:rPr>
            <w:t>第二章 企业安全生产费用的提取和使用</w:t>
          </w:r>
          <w:r>
            <w:rPr>
              <w:b w:val="0"/>
              <w:color w:val="auto"/>
              <w:sz w:val="32"/>
              <w:szCs w:val="32"/>
              <w:highlight w:val="none"/>
            </w:rPr>
            <w:tab/>
          </w:r>
          <w:r>
            <w:rPr>
              <w:b w:val="0"/>
              <w:color w:val="auto"/>
              <w:sz w:val="32"/>
              <w:szCs w:val="32"/>
              <w:highlight w:val="none"/>
            </w:rPr>
            <w:fldChar w:fldCharType="begin"/>
          </w:r>
          <w:r>
            <w:rPr>
              <w:b w:val="0"/>
              <w:color w:val="auto"/>
              <w:sz w:val="32"/>
              <w:szCs w:val="32"/>
              <w:highlight w:val="none"/>
            </w:rPr>
            <w:instrText xml:space="preserve"> PAGEREF _Toc152145207 \h </w:instrText>
          </w:r>
          <w:r>
            <w:rPr>
              <w:b w:val="0"/>
              <w:color w:val="auto"/>
              <w:sz w:val="32"/>
              <w:szCs w:val="32"/>
              <w:highlight w:val="none"/>
            </w:rPr>
            <w:fldChar w:fldCharType="separate"/>
          </w:r>
          <w:r>
            <w:rPr>
              <w:b w:val="0"/>
              <w:color w:val="auto"/>
              <w:sz w:val="32"/>
              <w:szCs w:val="32"/>
              <w:highlight w:val="none"/>
            </w:rPr>
            <w:t>8</w:t>
          </w:r>
          <w:r>
            <w:rPr>
              <w:b w:val="0"/>
              <w:color w:val="auto"/>
              <w:sz w:val="32"/>
              <w:szCs w:val="32"/>
              <w:highlight w:val="none"/>
            </w:rPr>
            <w:fldChar w:fldCharType="end"/>
          </w:r>
          <w:r>
            <w:rPr>
              <w:b w:val="0"/>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"_Toc152145208" </w:instrText>
          </w:r>
          <w:r>
            <w:rPr>
              <w:color w:val="auto"/>
              <w:highlight w:val="none"/>
            </w:rPr>
            <w:fldChar w:fldCharType="separate"/>
          </w:r>
          <w:r>
            <w:rPr>
              <w:rStyle w:val="28"/>
              <w:rFonts w:ascii="Times New Roman" w:hAnsi="Times New Roman" w:eastAsia="仿宋" w:cs="Times New Roman"/>
              <w:color w:val="auto"/>
              <w:sz w:val="32"/>
              <w:szCs w:val="32"/>
              <w:highlight w:val="none"/>
            </w:rPr>
            <w:t>第一节  煤炭生产企业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_Toc152145208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8</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"_Toc152145209" </w:instrText>
          </w:r>
          <w:r>
            <w:rPr>
              <w:color w:val="auto"/>
              <w:highlight w:val="none"/>
            </w:rPr>
            <w:fldChar w:fldCharType="separate"/>
          </w:r>
          <w:r>
            <w:rPr>
              <w:rStyle w:val="28"/>
              <w:rFonts w:ascii="Times New Roman" w:hAnsi="Times New Roman" w:eastAsia="仿宋" w:cs="Times New Roman"/>
              <w:color w:val="auto"/>
              <w:sz w:val="32"/>
              <w:szCs w:val="32"/>
              <w:highlight w:val="none"/>
            </w:rPr>
            <w:t>第二节  非煤矿山开采企业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_Toc152145209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17</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"_Toc152145210" </w:instrText>
          </w:r>
          <w:r>
            <w:rPr>
              <w:color w:val="auto"/>
              <w:highlight w:val="none"/>
            </w:rPr>
            <w:fldChar w:fldCharType="separate"/>
          </w:r>
          <w:r>
            <w:rPr>
              <w:rStyle w:val="28"/>
              <w:rFonts w:ascii="Times New Roman" w:hAnsi="Times New Roman" w:eastAsia="仿宋" w:cs="Times New Roman"/>
              <w:color w:val="auto"/>
              <w:sz w:val="32"/>
              <w:szCs w:val="32"/>
              <w:highlight w:val="none"/>
            </w:rPr>
            <w:t>第三节  石油天然气开采企业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_Toc152145210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23</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"_Toc152145211" </w:instrText>
          </w:r>
          <w:r>
            <w:rPr>
              <w:color w:val="auto"/>
              <w:highlight w:val="none"/>
            </w:rPr>
            <w:fldChar w:fldCharType="separate"/>
          </w:r>
          <w:r>
            <w:rPr>
              <w:rStyle w:val="28"/>
              <w:rFonts w:ascii="Times New Roman" w:hAnsi="Times New Roman" w:eastAsia="仿宋" w:cs="Times New Roman"/>
              <w:color w:val="auto"/>
              <w:sz w:val="32"/>
              <w:szCs w:val="32"/>
              <w:highlight w:val="none"/>
            </w:rPr>
            <w:t>第四节  建设工程施工企业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_Toc152145211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28</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"_Toc152145212" </w:instrText>
          </w:r>
          <w:r>
            <w:rPr>
              <w:color w:val="auto"/>
              <w:highlight w:val="none"/>
            </w:rPr>
            <w:fldChar w:fldCharType="separate"/>
          </w:r>
          <w:r>
            <w:rPr>
              <w:rStyle w:val="28"/>
              <w:rFonts w:ascii="Times New Roman" w:hAnsi="Times New Roman" w:eastAsia="仿宋" w:cs="Times New Roman"/>
              <w:color w:val="auto"/>
              <w:sz w:val="32"/>
              <w:szCs w:val="32"/>
              <w:highlight w:val="none"/>
            </w:rPr>
            <w:t>第五节  危险品生产与储存企业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_Toc152145212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35</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"_Toc152145213" </w:instrText>
          </w:r>
          <w:r>
            <w:rPr>
              <w:color w:val="auto"/>
              <w:highlight w:val="none"/>
            </w:rPr>
            <w:fldChar w:fldCharType="separate"/>
          </w:r>
          <w:r>
            <w:rPr>
              <w:rStyle w:val="28"/>
              <w:rFonts w:ascii="Times New Roman" w:hAnsi="Times New Roman" w:eastAsia="仿宋" w:cs="Times New Roman"/>
              <w:color w:val="auto"/>
              <w:sz w:val="32"/>
              <w:szCs w:val="32"/>
              <w:highlight w:val="none"/>
            </w:rPr>
            <w:t>第六节  交通运输企业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_Toc152145213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40</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"_Toc152145214" </w:instrText>
          </w:r>
          <w:r>
            <w:rPr>
              <w:color w:val="auto"/>
              <w:highlight w:val="none"/>
            </w:rPr>
            <w:fldChar w:fldCharType="separate"/>
          </w:r>
          <w:r>
            <w:rPr>
              <w:rStyle w:val="28"/>
              <w:rFonts w:ascii="Times New Roman" w:hAnsi="Times New Roman" w:eastAsia="仿宋" w:cs="Times New Roman"/>
              <w:color w:val="auto"/>
              <w:sz w:val="32"/>
              <w:szCs w:val="32"/>
              <w:highlight w:val="none"/>
            </w:rPr>
            <w:t>第七节  冶金企业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_Toc152145214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45</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"_Toc152145215" </w:instrText>
          </w:r>
          <w:r>
            <w:rPr>
              <w:color w:val="auto"/>
              <w:highlight w:val="none"/>
            </w:rPr>
            <w:fldChar w:fldCharType="separate"/>
          </w:r>
          <w:r>
            <w:rPr>
              <w:rStyle w:val="28"/>
              <w:rFonts w:ascii="Times New Roman" w:hAnsi="Times New Roman" w:eastAsia="仿宋" w:cs="Times New Roman"/>
              <w:color w:val="auto"/>
              <w:sz w:val="32"/>
              <w:szCs w:val="32"/>
              <w:highlight w:val="none"/>
            </w:rPr>
            <w:t>第八节  机械制造企业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_Toc152145215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49</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"_Toc152145216" </w:instrText>
          </w:r>
          <w:r>
            <w:rPr>
              <w:color w:val="auto"/>
              <w:highlight w:val="none"/>
            </w:rPr>
            <w:fldChar w:fldCharType="separate"/>
          </w:r>
          <w:r>
            <w:rPr>
              <w:rStyle w:val="28"/>
              <w:rFonts w:ascii="Times New Roman" w:hAnsi="Times New Roman" w:eastAsia="仿宋" w:cs="Times New Roman"/>
              <w:color w:val="auto"/>
              <w:sz w:val="32"/>
              <w:szCs w:val="32"/>
              <w:highlight w:val="none"/>
            </w:rPr>
            <w:t>第九节  烟花爆竹生产企业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_Toc152145216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55</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"_Toc152145217" </w:instrText>
          </w:r>
          <w:r>
            <w:rPr>
              <w:color w:val="auto"/>
              <w:highlight w:val="none"/>
            </w:rPr>
            <w:fldChar w:fldCharType="separate"/>
          </w:r>
          <w:r>
            <w:rPr>
              <w:rStyle w:val="28"/>
              <w:rFonts w:ascii="Times New Roman" w:hAnsi="Times New Roman" w:eastAsia="仿宋" w:cs="Times New Roman"/>
              <w:color w:val="auto"/>
              <w:sz w:val="32"/>
              <w:szCs w:val="32"/>
              <w:highlight w:val="none"/>
            </w:rPr>
            <w:t>第十节  民用爆炸物品生产企业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_Toc152145217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59</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"_Toc152145218" </w:instrText>
          </w:r>
          <w:r>
            <w:rPr>
              <w:color w:val="auto"/>
              <w:highlight w:val="none"/>
            </w:rPr>
            <w:fldChar w:fldCharType="separate"/>
          </w:r>
          <w:r>
            <w:rPr>
              <w:rStyle w:val="28"/>
              <w:rFonts w:ascii="Times New Roman" w:hAnsi="Times New Roman" w:eastAsia="仿宋" w:cs="Times New Roman"/>
              <w:color w:val="auto"/>
              <w:sz w:val="32"/>
              <w:szCs w:val="32"/>
              <w:highlight w:val="none"/>
            </w:rPr>
            <w:t>第十一节  武器装备研制生产与试验企业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_Toc152145218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63</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9"/>
            <w:keepNext w:val="0"/>
            <w:keepLines w:val="0"/>
            <w:pageBreakBefore w:val="0"/>
            <w:widowControl w:val="0"/>
            <w:tabs>
              <w:tab w:val="right" w:leader="dot" w:pos="8296"/>
            </w:tabs>
            <w:kinsoku/>
            <w:wordWrap/>
            <w:overflowPunct/>
            <w:topLinePunct w:val="0"/>
            <w:bidi w:val="0"/>
            <w:spacing w:line="560" w:lineRule="exact"/>
            <w:rPr>
              <w:rFonts w:ascii="Times New Roman" w:hAnsi="Times New Roman" w:eastAsia="仿宋" w:cs="Times New Roman"/>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"_Toc152145219" </w:instrText>
          </w:r>
          <w:r>
            <w:rPr>
              <w:color w:val="auto"/>
              <w:highlight w:val="none"/>
            </w:rPr>
            <w:fldChar w:fldCharType="separate"/>
          </w:r>
          <w:r>
            <w:rPr>
              <w:rStyle w:val="28"/>
              <w:rFonts w:ascii="Times New Roman" w:hAnsi="Times New Roman" w:eastAsia="仿宋" w:cs="Times New Roman"/>
              <w:color w:val="auto"/>
              <w:sz w:val="32"/>
              <w:szCs w:val="32"/>
              <w:highlight w:val="none"/>
            </w:rPr>
            <w:t>第十二节  电力生产与供应企业</w:t>
          </w:r>
          <w:r>
            <w:rPr>
              <w:rFonts w:ascii="Times New Roman" w:hAnsi="Times New Roman" w:eastAsia="仿宋" w:cs="Times New Roman"/>
              <w:color w:val="auto"/>
              <w:sz w:val="32"/>
              <w:szCs w:val="32"/>
              <w:highlight w:val="none"/>
            </w:rPr>
            <w:tab/>
          </w:r>
          <w:r>
            <w:rPr>
              <w:rFonts w:ascii="Times New Roman" w:hAnsi="Times New Roman" w:eastAsia="仿宋" w:cs="Times New Roman"/>
              <w:color w:val="auto"/>
              <w:sz w:val="32"/>
              <w:szCs w:val="32"/>
              <w:highlight w:val="none"/>
            </w:rPr>
            <w:fldChar w:fldCharType="begin"/>
          </w:r>
          <w:r>
            <w:rPr>
              <w:rFonts w:ascii="Times New Roman" w:hAnsi="Times New Roman" w:eastAsia="仿宋" w:cs="Times New Roman"/>
              <w:color w:val="auto"/>
              <w:sz w:val="32"/>
              <w:szCs w:val="32"/>
              <w:highlight w:val="none"/>
            </w:rPr>
            <w:instrText xml:space="preserve"> PAGEREF _Toc152145219 \h </w:instrText>
          </w:r>
          <w:r>
            <w:rPr>
              <w:rFonts w:ascii="Times New Roman" w:hAnsi="Times New Roman" w:eastAsia="仿宋" w:cs="Times New Roman"/>
              <w:color w:val="auto"/>
              <w:sz w:val="32"/>
              <w:szCs w:val="32"/>
              <w:highlight w:val="none"/>
            </w:rPr>
            <w:fldChar w:fldCharType="separate"/>
          </w:r>
          <w:r>
            <w:rPr>
              <w:rFonts w:ascii="Times New Roman" w:hAnsi="Times New Roman" w:eastAsia="仿宋" w:cs="Times New Roman"/>
              <w:color w:val="auto"/>
              <w:sz w:val="32"/>
              <w:szCs w:val="32"/>
              <w:highlight w:val="none"/>
            </w:rPr>
            <w:t>71</w:t>
          </w:r>
          <w:r>
            <w:rPr>
              <w:rFonts w:ascii="Times New Roman" w:hAnsi="Times New Roman" w:eastAsia="仿宋" w:cs="Times New Roman"/>
              <w:color w:val="auto"/>
              <w:sz w:val="32"/>
              <w:szCs w:val="32"/>
              <w:highlight w:val="none"/>
            </w:rPr>
            <w:fldChar w:fldCharType="end"/>
          </w:r>
          <w:r>
            <w:rPr>
              <w:rFonts w:ascii="Times New Roman" w:hAnsi="Times New Roman" w:eastAsia="仿宋" w:cs="Times New Roman"/>
              <w:color w:val="auto"/>
              <w:sz w:val="32"/>
              <w:szCs w:val="32"/>
              <w:highlight w:val="none"/>
            </w:rPr>
            <w:fldChar w:fldCharType="end"/>
          </w:r>
        </w:p>
        <w:p>
          <w:pPr>
            <w:pStyle w:val="18"/>
            <w:keepNext w:val="0"/>
            <w:keepLines w:val="0"/>
            <w:pageBreakBefore w:val="0"/>
            <w:widowControl w:val="0"/>
            <w:kinsoku/>
            <w:wordWrap/>
            <w:overflowPunct/>
            <w:topLinePunct w:val="0"/>
            <w:bidi w:val="0"/>
            <w:spacing w:line="560" w:lineRule="exact"/>
            <w:rPr>
              <w:b w:val="0"/>
              <w:bCs w:val="0"/>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"_Toc152145220" </w:instrText>
          </w:r>
          <w:r>
            <w:rPr>
              <w:color w:val="auto"/>
              <w:highlight w:val="none"/>
            </w:rPr>
            <w:fldChar w:fldCharType="separate"/>
          </w:r>
          <w:r>
            <w:rPr>
              <w:rStyle w:val="28"/>
              <w:b w:val="0"/>
              <w:color w:val="auto"/>
              <w:sz w:val="32"/>
              <w:szCs w:val="32"/>
              <w:highlight w:val="none"/>
            </w:rPr>
            <w:t>第三章  企业安全生产费用的管理和监督</w:t>
          </w:r>
          <w:r>
            <w:rPr>
              <w:b w:val="0"/>
              <w:color w:val="auto"/>
              <w:sz w:val="32"/>
              <w:szCs w:val="32"/>
              <w:highlight w:val="none"/>
            </w:rPr>
            <w:tab/>
          </w:r>
          <w:r>
            <w:rPr>
              <w:b w:val="0"/>
              <w:color w:val="auto"/>
              <w:sz w:val="32"/>
              <w:szCs w:val="32"/>
              <w:highlight w:val="none"/>
            </w:rPr>
            <w:fldChar w:fldCharType="begin"/>
          </w:r>
          <w:r>
            <w:rPr>
              <w:b w:val="0"/>
              <w:color w:val="auto"/>
              <w:sz w:val="32"/>
              <w:szCs w:val="32"/>
              <w:highlight w:val="none"/>
            </w:rPr>
            <w:instrText xml:space="preserve"> PAGEREF _Toc152145220 \h </w:instrText>
          </w:r>
          <w:r>
            <w:rPr>
              <w:b w:val="0"/>
              <w:color w:val="auto"/>
              <w:sz w:val="32"/>
              <w:szCs w:val="32"/>
              <w:highlight w:val="none"/>
            </w:rPr>
            <w:fldChar w:fldCharType="separate"/>
          </w:r>
          <w:r>
            <w:rPr>
              <w:b w:val="0"/>
              <w:color w:val="auto"/>
              <w:sz w:val="32"/>
              <w:szCs w:val="32"/>
              <w:highlight w:val="none"/>
            </w:rPr>
            <w:t>76</w:t>
          </w:r>
          <w:r>
            <w:rPr>
              <w:b w:val="0"/>
              <w:color w:val="auto"/>
              <w:sz w:val="32"/>
              <w:szCs w:val="32"/>
              <w:highlight w:val="none"/>
            </w:rPr>
            <w:fldChar w:fldCharType="end"/>
          </w:r>
          <w:r>
            <w:rPr>
              <w:b w:val="0"/>
              <w:color w:val="auto"/>
              <w:sz w:val="32"/>
              <w:szCs w:val="32"/>
              <w:highlight w:val="none"/>
            </w:rPr>
            <w:fldChar w:fldCharType="end"/>
          </w:r>
        </w:p>
        <w:p>
          <w:pPr>
            <w:pStyle w:val="18"/>
            <w:keepNext w:val="0"/>
            <w:keepLines w:val="0"/>
            <w:pageBreakBefore w:val="0"/>
            <w:widowControl w:val="0"/>
            <w:kinsoku/>
            <w:wordWrap/>
            <w:overflowPunct/>
            <w:topLinePunct w:val="0"/>
            <w:bidi w:val="0"/>
            <w:spacing w:line="560" w:lineRule="exact"/>
            <w:rPr>
              <w:b w:val="0"/>
              <w:bCs w:val="0"/>
              <w:color w:val="auto"/>
              <w:sz w:val="32"/>
              <w:szCs w:val="32"/>
              <w:highlight w:val="none"/>
              <w14:ligatures w14:val="standardContextual"/>
            </w:rPr>
          </w:pPr>
          <w:r>
            <w:rPr>
              <w:color w:val="auto"/>
              <w:highlight w:val="none"/>
            </w:rPr>
            <w:fldChar w:fldCharType="begin"/>
          </w:r>
          <w:r>
            <w:rPr>
              <w:color w:val="auto"/>
              <w:highlight w:val="none"/>
            </w:rPr>
            <w:instrText xml:space="preserve"> HYPERLINK \l "_Toc152145221" </w:instrText>
          </w:r>
          <w:r>
            <w:rPr>
              <w:color w:val="auto"/>
              <w:highlight w:val="none"/>
            </w:rPr>
            <w:fldChar w:fldCharType="separate"/>
          </w:r>
          <w:r>
            <w:rPr>
              <w:rStyle w:val="28"/>
              <w:b w:val="0"/>
              <w:color w:val="auto"/>
              <w:sz w:val="32"/>
              <w:szCs w:val="32"/>
              <w:highlight w:val="none"/>
            </w:rPr>
            <w:t>第四章  附则</w:t>
          </w:r>
          <w:r>
            <w:rPr>
              <w:b w:val="0"/>
              <w:color w:val="auto"/>
              <w:sz w:val="32"/>
              <w:szCs w:val="32"/>
              <w:highlight w:val="none"/>
            </w:rPr>
            <w:tab/>
          </w:r>
          <w:r>
            <w:rPr>
              <w:b w:val="0"/>
              <w:color w:val="auto"/>
              <w:sz w:val="32"/>
              <w:szCs w:val="32"/>
              <w:highlight w:val="none"/>
            </w:rPr>
            <w:fldChar w:fldCharType="begin"/>
          </w:r>
          <w:r>
            <w:rPr>
              <w:b w:val="0"/>
              <w:color w:val="auto"/>
              <w:sz w:val="32"/>
              <w:szCs w:val="32"/>
              <w:highlight w:val="none"/>
            </w:rPr>
            <w:instrText xml:space="preserve"> PAGEREF _Toc152145221 \h </w:instrText>
          </w:r>
          <w:r>
            <w:rPr>
              <w:b w:val="0"/>
              <w:color w:val="auto"/>
              <w:sz w:val="32"/>
              <w:szCs w:val="32"/>
              <w:highlight w:val="none"/>
            </w:rPr>
            <w:fldChar w:fldCharType="separate"/>
          </w:r>
          <w:r>
            <w:rPr>
              <w:b w:val="0"/>
              <w:color w:val="auto"/>
              <w:sz w:val="32"/>
              <w:szCs w:val="32"/>
              <w:highlight w:val="none"/>
            </w:rPr>
            <w:t>96</w:t>
          </w:r>
          <w:r>
            <w:rPr>
              <w:b w:val="0"/>
              <w:color w:val="auto"/>
              <w:sz w:val="32"/>
              <w:szCs w:val="32"/>
              <w:highlight w:val="none"/>
            </w:rPr>
            <w:fldChar w:fldCharType="end"/>
          </w:r>
          <w:r>
            <w:rPr>
              <w:b w:val="0"/>
              <w:color w:val="auto"/>
              <w:sz w:val="32"/>
              <w:szCs w:val="32"/>
              <w:highlight w:val="none"/>
            </w:rPr>
            <w:fldChar w:fldCharType="end"/>
          </w:r>
        </w:p>
        <w:p>
          <w:pPr>
            <w:keepNext w:val="0"/>
            <w:keepLines w:val="0"/>
            <w:pageBreakBefore w:val="0"/>
            <w:widowControl w:val="0"/>
            <w:kinsoku/>
            <w:wordWrap/>
            <w:overflowPunct/>
            <w:topLinePunct w:val="0"/>
            <w:bidi w:val="0"/>
            <w:spacing w:line="560" w:lineRule="exact"/>
            <w:rPr>
              <w:color w:val="auto"/>
              <w:highlight w:val="none"/>
            </w:rPr>
          </w:pPr>
          <w:r>
            <w:rPr>
              <w:rFonts w:ascii="Times New Roman" w:hAnsi="Times New Roman" w:eastAsia="仿宋" w:cs="Times New Roman"/>
              <w:b/>
              <w:bCs/>
              <w:color w:val="auto"/>
              <w:sz w:val="32"/>
              <w:szCs w:val="32"/>
              <w:highlight w:val="none"/>
              <w:lang w:val="zh-CN"/>
            </w:rPr>
            <w:fldChar w:fldCharType="end"/>
          </w:r>
        </w:p>
      </w:sdtContent>
    </w:sdt>
    <w:p>
      <w:pPr>
        <w:pStyle w:val="54"/>
        <w:keepNext w:val="0"/>
        <w:keepLines w:val="0"/>
        <w:pageBreakBefore w:val="0"/>
        <w:widowControl w:val="0"/>
        <w:tabs>
          <w:tab w:val="left" w:pos="2145"/>
          <w:tab w:val="center" w:pos="4153"/>
        </w:tabs>
        <w:kinsoku/>
        <w:wordWrap/>
        <w:overflowPunct/>
        <w:topLinePunct w:val="0"/>
        <w:bidi w:val="0"/>
        <w:spacing w:before="0" w:after="0" w:line="560" w:lineRule="exact"/>
        <w:rPr>
          <w:rFonts w:ascii="华文仿宋" w:hAnsi="华文仿宋" w:eastAsia="华文仿宋" w:cs="Times New Roman"/>
          <w:color w:val="auto"/>
          <w:sz w:val="30"/>
          <w:szCs w:val="30"/>
          <w:highlight w:val="none"/>
        </w:rPr>
      </w:pPr>
    </w:p>
    <w:p>
      <w:pPr>
        <w:keepNext w:val="0"/>
        <w:keepLines w:val="0"/>
        <w:pageBreakBefore w:val="0"/>
        <w:widowControl w:val="0"/>
        <w:kinsoku/>
        <w:wordWrap/>
        <w:overflowPunct/>
        <w:topLinePunct w:val="0"/>
        <w:bidi w:val="0"/>
        <w:spacing w:line="560" w:lineRule="exact"/>
        <w:rPr>
          <w:color w:val="auto"/>
          <w:highlight w:val="none"/>
        </w:rPr>
        <w:sectPr>
          <w:pgSz w:w="11906" w:h="16838"/>
          <w:pgMar w:top="1440" w:right="1800" w:bottom="1440" w:left="1800" w:header="851" w:footer="992" w:gutter="0"/>
          <w:pgNumType w:fmt="decimal" w:start="1"/>
          <w:cols w:space="425" w:num="1"/>
          <w:docGrid w:type="lines" w:linePitch="312" w:charSpace="0"/>
        </w:sectPr>
      </w:pPr>
    </w:p>
    <w:p>
      <w:pPr>
        <w:pStyle w:val="3"/>
        <w:keepNext w:val="0"/>
        <w:keepLines w:val="0"/>
        <w:pageBreakBefore w:val="0"/>
        <w:widowControl w:val="0"/>
        <w:kinsoku/>
        <w:wordWrap/>
        <w:overflowPunct/>
        <w:topLinePunct w:val="0"/>
        <w:bidi w:val="0"/>
        <w:spacing w:before="0" w:after="0" w:line="560" w:lineRule="exact"/>
        <w:jc w:val="center"/>
        <w:rPr>
          <w:rFonts w:hint="eastAsia"/>
          <w:color w:val="auto"/>
          <w:sz w:val="36"/>
          <w:szCs w:val="36"/>
          <w:highlight w:val="none"/>
        </w:rPr>
      </w:pPr>
      <w:bookmarkStart w:id="0" w:name="_Toc147996020"/>
      <w:bookmarkStart w:id="1" w:name="_Toc152145206"/>
      <w:r>
        <w:rPr>
          <w:rFonts w:hint="eastAsia"/>
          <w:color w:val="auto"/>
          <w:sz w:val="36"/>
          <w:szCs w:val="36"/>
          <w:highlight w:val="none"/>
        </w:rPr>
        <w:t>第一章 总 则</w:t>
      </w:r>
      <w:bookmarkEnd w:id="0"/>
      <w:bookmarkEnd w:id="1"/>
    </w:p>
    <w:p>
      <w:pPr>
        <w:rPr>
          <w:color w:val="auto"/>
        </w:rPr>
      </w:pPr>
    </w:p>
    <w:p>
      <w:pPr>
        <w:keepNext w:val="0"/>
        <w:keepLines w:val="0"/>
        <w:pageBreakBefore w:val="0"/>
        <w:widowControl w:val="0"/>
        <w:kinsoku/>
        <w:wordWrap/>
        <w:overflowPunct/>
        <w:topLinePunct w:val="0"/>
        <w:bidi w:val="0"/>
        <w:spacing w:line="560" w:lineRule="exact"/>
        <w:ind w:firstLine="800" w:firstLineChars="250"/>
        <w:rPr>
          <w:rFonts w:hint="eastAsia"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第一条</w:t>
      </w:r>
      <w:r>
        <w:rPr>
          <w:rFonts w:hint="eastAsia" w:ascii="黑体" w:hAnsi="宋体" w:eastAsia="黑体" w:cs="宋体"/>
          <w:bCs/>
          <w:color w:val="auto"/>
          <w:kern w:val="0"/>
          <w:sz w:val="30"/>
          <w:szCs w:val="30"/>
          <w:highlight w:val="none"/>
        </w:rPr>
        <w:t xml:space="preserve"> </w:t>
      </w:r>
      <w:r>
        <w:rPr>
          <w:rStyle w:val="61"/>
          <w:rFonts w:hint="eastAsia" w:eastAsia="仿宋_GB2312"/>
          <w:b/>
          <w:bCs/>
          <w:color w:val="auto"/>
          <w:spacing w:val="0"/>
          <w:sz w:val="32"/>
          <w:szCs w:val="32"/>
          <w:lang w:val="en-US" w:eastAsia="zh-CN" w:bidi="ar"/>
        </w:rPr>
        <w:t>为加强企业安全生产费用管理，建立企业安全生产投入长效机制，维护企业、职工以及社会公共利益，依据《</w:t>
      </w:r>
      <w:r>
        <w:rPr>
          <w:rStyle w:val="61"/>
          <w:rFonts w:hint="eastAsia" w:eastAsia="仿宋_GB2312"/>
          <w:b/>
          <w:bCs/>
          <w:color w:val="auto"/>
          <w:spacing w:val="0"/>
          <w:sz w:val="32"/>
          <w:szCs w:val="32"/>
          <w:lang w:val="en-US" w:eastAsia="zh-CN" w:bidi="ar"/>
        </w:rPr>
        <w:fldChar w:fldCharType="begin"/>
      </w:r>
      <w:r>
        <w:rPr>
          <w:rStyle w:val="61"/>
          <w:rFonts w:hint="eastAsia" w:eastAsia="仿宋_GB2312"/>
          <w:b/>
          <w:bCs/>
          <w:color w:val="auto"/>
          <w:spacing w:val="0"/>
          <w:sz w:val="32"/>
          <w:szCs w:val="32"/>
          <w:lang w:val="en-US" w:eastAsia="zh-CN" w:bidi="ar"/>
        </w:rPr>
        <w:instrText xml:space="preserve"> HYPERLINK "https://baike.baidu.com/item/%E4%B8%AD%E5%8D%8E%E4%BA%BA%E6%B0%91%E5%85%B1%E5%92%8C%E5%9B%BD%E5%AE%89%E5%85%A8%E7%94%9F%E4%BA%A7%E6%B3%95" \t "_blank" </w:instrText>
      </w:r>
      <w:r>
        <w:rPr>
          <w:rStyle w:val="61"/>
          <w:rFonts w:hint="eastAsia" w:eastAsia="仿宋_GB2312"/>
          <w:b/>
          <w:bCs/>
          <w:color w:val="auto"/>
          <w:spacing w:val="0"/>
          <w:sz w:val="32"/>
          <w:szCs w:val="32"/>
          <w:lang w:val="en-US" w:eastAsia="zh-CN" w:bidi="ar"/>
        </w:rPr>
        <w:fldChar w:fldCharType="separate"/>
      </w:r>
      <w:r>
        <w:rPr>
          <w:rStyle w:val="61"/>
          <w:rFonts w:hint="eastAsia" w:eastAsia="仿宋_GB2312"/>
          <w:b/>
          <w:bCs/>
          <w:color w:val="auto"/>
          <w:spacing w:val="0"/>
          <w:sz w:val="32"/>
          <w:szCs w:val="32"/>
          <w:lang w:val="en-US" w:eastAsia="zh-CN" w:bidi="ar"/>
        </w:rPr>
        <w:t>中华人民共和国安全生产法</w:t>
      </w:r>
      <w:r>
        <w:rPr>
          <w:rStyle w:val="61"/>
          <w:rFonts w:hint="eastAsia" w:eastAsia="仿宋_GB2312"/>
          <w:b/>
          <w:bCs/>
          <w:color w:val="auto"/>
          <w:spacing w:val="0"/>
          <w:sz w:val="32"/>
          <w:szCs w:val="32"/>
          <w:lang w:val="en-US" w:eastAsia="zh-CN" w:bidi="ar"/>
        </w:rPr>
        <w:fldChar w:fldCharType="end"/>
      </w:r>
      <w:r>
        <w:rPr>
          <w:rStyle w:val="61"/>
          <w:rFonts w:hint="eastAsia" w:eastAsia="仿宋_GB2312"/>
          <w:b/>
          <w:bCs/>
          <w:color w:val="auto"/>
          <w:spacing w:val="0"/>
          <w:sz w:val="32"/>
          <w:szCs w:val="32"/>
          <w:lang w:val="en-US" w:eastAsia="zh-CN" w:bidi="ar"/>
        </w:rPr>
        <w:t>》等有关法律法规和</w:t>
      </w:r>
      <w:r>
        <w:rPr>
          <w:rStyle w:val="61"/>
          <w:rFonts w:hint="eastAsia" w:eastAsia="仿宋_GB2312"/>
          <w:b/>
          <w:bCs/>
          <w:color w:val="auto"/>
          <w:spacing w:val="0"/>
          <w:sz w:val="32"/>
          <w:szCs w:val="32"/>
          <w:lang w:val="en-US" w:eastAsia="zh-CN" w:bidi="ar"/>
        </w:rPr>
        <w:fldChar w:fldCharType="begin"/>
      </w:r>
      <w:r>
        <w:rPr>
          <w:rStyle w:val="61"/>
          <w:rFonts w:hint="eastAsia" w:eastAsia="仿宋_GB2312"/>
          <w:b/>
          <w:bCs/>
          <w:color w:val="auto"/>
          <w:spacing w:val="0"/>
          <w:sz w:val="32"/>
          <w:szCs w:val="32"/>
          <w:lang w:val="en-US" w:eastAsia="zh-CN" w:bidi="ar"/>
        </w:rPr>
        <w:instrText xml:space="preserve"> HYPERLINK "http://www.gov.cn/zhengce/2016-12/18/content_5149663.htm" \t "_blank" </w:instrText>
      </w:r>
      <w:r>
        <w:rPr>
          <w:rStyle w:val="61"/>
          <w:rFonts w:hint="eastAsia" w:eastAsia="仿宋_GB2312"/>
          <w:b/>
          <w:bCs/>
          <w:color w:val="auto"/>
          <w:spacing w:val="0"/>
          <w:sz w:val="32"/>
          <w:szCs w:val="32"/>
          <w:lang w:val="en-US" w:eastAsia="zh-CN" w:bidi="ar"/>
        </w:rPr>
        <w:fldChar w:fldCharType="separate"/>
      </w:r>
      <w:r>
        <w:rPr>
          <w:rStyle w:val="61"/>
          <w:rFonts w:hint="eastAsia" w:eastAsia="仿宋_GB2312"/>
          <w:b/>
          <w:bCs/>
          <w:color w:val="auto"/>
          <w:spacing w:val="0"/>
          <w:sz w:val="32"/>
          <w:szCs w:val="32"/>
          <w:lang w:val="en-US" w:eastAsia="zh-CN" w:bidi="ar"/>
        </w:rPr>
        <w:t>《中共中央 国务院关于推进安全生产领域改革发展的意见》</w:t>
      </w:r>
      <w:r>
        <w:rPr>
          <w:rStyle w:val="61"/>
          <w:rFonts w:hint="eastAsia" w:eastAsia="仿宋_GB2312"/>
          <w:b/>
          <w:bCs/>
          <w:color w:val="auto"/>
          <w:spacing w:val="0"/>
          <w:sz w:val="32"/>
          <w:szCs w:val="32"/>
          <w:lang w:val="en-US" w:eastAsia="zh-CN" w:bidi="ar"/>
        </w:rPr>
        <w:fldChar w:fldCharType="end"/>
      </w:r>
      <w:r>
        <w:rPr>
          <w:rStyle w:val="61"/>
          <w:rFonts w:hint="eastAsia" w:eastAsia="仿宋_GB2312"/>
          <w:b/>
          <w:bCs/>
          <w:color w:val="auto"/>
          <w:spacing w:val="0"/>
          <w:sz w:val="32"/>
          <w:szCs w:val="32"/>
          <w:lang w:val="en-US" w:eastAsia="zh-CN" w:bidi="ar"/>
        </w:rPr>
        <w:t>、《国务院关于进一步加强安全生产工作的决定》（国发〔2004〕2号）、《</w:t>
      </w:r>
      <w:r>
        <w:rPr>
          <w:rStyle w:val="61"/>
          <w:rFonts w:hint="eastAsia" w:eastAsia="仿宋_GB2312"/>
          <w:b/>
          <w:bCs/>
          <w:color w:val="auto"/>
          <w:spacing w:val="0"/>
          <w:sz w:val="32"/>
          <w:szCs w:val="32"/>
          <w:lang w:val="en-US" w:eastAsia="zh-CN" w:bidi="ar"/>
        </w:rPr>
        <w:fldChar w:fldCharType="begin"/>
      </w:r>
      <w:r>
        <w:rPr>
          <w:rStyle w:val="61"/>
          <w:rFonts w:hint="eastAsia" w:eastAsia="仿宋_GB2312"/>
          <w:b/>
          <w:bCs/>
          <w:color w:val="auto"/>
          <w:spacing w:val="0"/>
          <w:sz w:val="32"/>
          <w:szCs w:val="32"/>
          <w:lang w:val="en-US" w:eastAsia="zh-CN" w:bidi="ar"/>
        </w:rPr>
        <w:instrText xml:space="preserve"> HYPERLINK "https://baike.baidu.com/item/%E5%9B%BD%E5%8A%A1%E9%99%A2%E5%85%B3%E4%BA%8E%E8%BF%9B%E4%B8%80%E6%AD%A5%E5%8A%A0%E5%BC%BA%E4%BC%81%E4%B8%9A%E5%AE%89%E5%85%A8%E7%94%9F%E4%BA%A7%E5%B7%A5%E4%BD%9C%E7%9A%84%E9%80%9A%E7%9F%A5" \t "_blank" </w:instrText>
      </w:r>
      <w:r>
        <w:rPr>
          <w:rStyle w:val="61"/>
          <w:rFonts w:hint="eastAsia" w:eastAsia="仿宋_GB2312"/>
          <w:b/>
          <w:bCs/>
          <w:color w:val="auto"/>
          <w:spacing w:val="0"/>
          <w:sz w:val="32"/>
          <w:szCs w:val="32"/>
          <w:lang w:val="en-US" w:eastAsia="zh-CN" w:bidi="ar"/>
        </w:rPr>
        <w:fldChar w:fldCharType="separate"/>
      </w:r>
      <w:r>
        <w:rPr>
          <w:rStyle w:val="61"/>
          <w:rFonts w:hint="eastAsia" w:eastAsia="仿宋_GB2312"/>
          <w:b/>
          <w:bCs/>
          <w:color w:val="auto"/>
          <w:spacing w:val="0"/>
          <w:sz w:val="32"/>
          <w:szCs w:val="32"/>
          <w:lang w:val="en-US" w:eastAsia="zh-CN" w:bidi="ar"/>
        </w:rPr>
        <w:t>国务院关于进一步加强企业安全生产工作的通知</w:t>
      </w:r>
      <w:r>
        <w:rPr>
          <w:rStyle w:val="61"/>
          <w:rFonts w:hint="eastAsia" w:eastAsia="仿宋_GB2312"/>
          <w:b/>
          <w:bCs/>
          <w:color w:val="auto"/>
          <w:spacing w:val="0"/>
          <w:sz w:val="32"/>
          <w:szCs w:val="32"/>
          <w:lang w:val="en-US" w:eastAsia="zh-CN" w:bidi="ar"/>
        </w:rPr>
        <w:fldChar w:fldCharType="end"/>
      </w:r>
      <w:r>
        <w:rPr>
          <w:rStyle w:val="61"/>
          <w:rFonts w:hint="eastAsia" w:eastAsia="仿宋_GB2312"/>
          <w:b/>
          <w:bCs/>
          <w:color w:val="auto"/>
          <w:spacing w:val="0"/>
          <w:sz w:val="32"/>
          <w:szCs w:val="32"/>
          <w:lang w:val="en-US" w:eastAsia="zh-CN" w:bidi="ar"/>
        </w:rPr>
        <w:t>》（国发〔2010〕23号）等，制定本办法。</w:t>
      </w:r>
    </w:p>
    <w:p>
      <w:pPr>
        <w:keepNext w:val="0"/>
        <w:keepLines w:val="0"/>
        <w:pageBreakBefore w:val="0"/>
        <w:widowControl w:val="0"/>
        <w:kinsoku/>
        <w:wordWrap/>
        <w:overflowPunct/>
        <w:topLinePunct w:val="0"/>
        <w:bidi w:val="0"/>
        <w:spacing w:line="560" w:lineRule="exact"/>
        <w:ind w:firstLine="800" w:firstLineChars="25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本条是办法制定的目的和依据。</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安全生产法》第二十三条：“有关生产经营单位应当按照规定提取和使用安全生产费用，专门用于改善安全生产条件。安全生产费用在成本中据实列支”；《国务院关于进一步加强安全生产工作的决定》（国发〔2004〕2号）明确提出：“建立企业提取安全费用制度。为保障企业安全生产所需资金投入，形成企业安全生产投入的长效机制，借鉴煤矿提取安全费用的经验，在条件成熟后，逐步建立对高危行业生产企业提取安全费用制度”；《</w:t>
      </w:r>
      <w:r>
        <w:rPr>
          <w:rStyle w:val="61"/>
          <w:rFonts w:hint="eastAsia" w:eastAsia="仿宋_GB2312"/>
          <w:color w:val="auto"/>
          <w:spacing w:val="0"/>
          <w:sz w:val="32"/>
          <w:szCs w:val="32"/>
          <w:lang w:val="en-US" w:eastAsia="zh-CN" w:bidi="ar"/>
        </w:rPr>
        <w:fldChar w:fldCharType="begin"/>
      </w:r>
      <w:r>
        <w:rPr>
          <w:rStyle w:val="61"/>
          <w:rFonts w:hint="eastAsia" w:eastAsia="仿宋_GB2312"/>
          <w:color w:val="auto"/>
          <w:spacing w:val="0"/>
          <w:sz w:val="32"/>
          <w:szCs w:val="32"/>
          <w:lang w:val="en-US" w:eastAsia="zh-CN" w:bidi="ar"/>
        </w:rPr>
        <w:instrText xml:space="preserve"> HYPERLINK "https://baike.baidu.com/item/%E5%9B%BD%E5%8A%A1%E9%99%A2%E5%85%B3%E4%BA%8E%E8%BF%9B%E4%B8%80%E6%AD%A5%E5%8A%A0%E5%BC%BA%E4%BC%81%E4%B8%9A%E5%AE%89%E5%85%A8%E7%94%9F%E4%BA%A7%E5%B7%A5%E4%BD%9C%E7%9A%84%E9%80%9A%E7%9F%A5" \t "_blank" </w:instrText>
      </w:r>
      <w:r>
        <w:rPr>
          <w:rStyle w:val="61"/>
          <w:rFonts w:hint="eastAsia" w:eastAsia="仿宋_GB2312"/>
          <w:color w:val="auto"/>
          <w:spacing w:val="0"/>
          <w:sz w:val="32"/>
          <w:szCs w:val="32"/>
          <w:lang w:val="en-US" w:eastAsia="zh-CN" w:bidi="ar"/>
        </w:rPr>
        <w:fldChar w:fldCharType="separate"/>
      </w:r>
      <w:r>
        <w:rPr>
          <w:rStyle w:val="61"/>
          <w:rFonts w:hint="eastAsia" w:eastAsia="仿宋_GB2312"/>
          <w:color w:val="auto"/>
          <w:spacing w:val="0"/>
          <w:sz w:val="32"/>
          <w:szCs w:val="32"/>
          <w:lang w:val="en-US" w:eastAsia="zh-CN" w:bidi="ar"/>
        </w:rPr>
        <w:t>国务院关于进一步加强企业安全生产工作的通知</w:t>
      </w:r>
      <w:r>
        <w:rPr>
          <w:rStyle w:val="61"/>
          <w:rFonts w:hint="eastAsia" w:eastAsia="仿宋_GB2312"/>
          <w:color w:val="auto"/>
          <w:spacing w:val="0"/>
          <w:sz w:val="32"/>
          <w:szCs w:val="32"/>
          <w:lang w:val="en-US" w:eastAsia="zh-CN" w:bidi="ar"/>
        </w:rPr>
        <w:fldChar w:fldCharType="end"/>
      </w:r>
      <w:r>
        <w:rPr>
          <w:rStyle w:val="61"/>
          <w:rFonts w:hint="eastAsia" w:eastAsia="仿宋_GB2312"/>
          <w:color w:val="auto"/>
          <w:spacing w:val="0"/>
          <w:sz w:val="32"/>
          <w:szCs w:val="32"/>
          <w:lang w:val="en-US" w:eastAsia="zh-CN" w:bidi="ar"/>
        </w:rPr>
        <w:t>》（国发〔2010〕23号）提出：“进一步完善高危行业企业安全生产费用财务管理制度，研究提高安全生产费用提取下限标准，适当扩大适用范围”；</w:t>
      </w:r>
      <w:r>
        <w:rPr>
          <w:rStyle w:val="61"/>
          <w:rFonts w:hint="eastAsia" w:eastAsia="仿宋_GB2312"/>
          <w:color w:val="auto"/>
          <w:spacing w:val="0"/>
          <w:sz w:val="32"/>
          <w:szCs w:val="32"/>
          <w:lang w:val="en-US" w:eastAsia="zh-CN" w:bidi="ar"/>
        </w:rPr>
        <w:fldChar w:fldCharType="begin"/>
      </w:r>
      <w:r>
        <w:rPr>
          <w:rStyle w:val="61"/>
          <w:rFonts w:hint="eastAsia" w:eastAsia="仿宋_GB2312"/>
          <w:color w:val="auto"/>
          <w:spacing w:val="0"/>
          <w:sz w:val="32"/>
          <w:szCs w:val="32"/>
          <w:lang w:val="en-US" w:eastAsia="zh-CN" w:bidi="ar"/>
        </w:rPr>
        <w:instrText xml:space="preserve"> HYPERLINK "http://www.gov.cn/zhengce/2016-12/18/content_5149663.htm" \t "_blank" </w:instrText>
      </w:r>
      <w:r>
        <w:rPr>
          <w:rStyle w:val="61"/>
          <w:rFonts w:hint="eastAsia" w:eastAsia="仿宋_GB2312"/>
          <w:color w:val="auto"/>
          <w:spacing w:val="0"/>
          <w:sz w:val="32"/>
          <w:szCs w:val="32"/>
          <w:lang w:val="en-US" w:eastAsia="zh-CN" w:bidi="ar"/>
        </w:rPr>
        <w:fldChar w:fldCharType="separate"/>
      </w:r>
      <w:r>
        <w:rPr>
          <w:rStyle w:val="61"/>
          <w:rFonts w:hint="eastAsia" w:eastAsia="仿宋_GB2312"/>
          <w:color w:val="auto"/>
          <w:spacing w:val="0"/>
          <w:sz w:val="32"/>
          <w:szCs w:val="32"/>
          <w:lang w:val="en-US" w:eastAsia="zh-CN" w:bidi="ar"/>
        </w:rPr>
        <w:t>《中共中央 国务院关于推进安全生产领域改革发展的意见》</w:t>
      </w:r>
      <w:r>
        <w:rPr>
          <w:rStyle w:val="61"/>
          <w:rFonts w:hint="eastAsia" w:eastAsia="仿宋_GB2312"/>
          <w:color w:val="auto"/>
          <w:spacing w:val="0"/>
          <w:sz w:val="32"/>
          <w:szCs w:val="32"/>
          <w:lang w:val="en-US" w:eastAsia="zh-CN" w:bidi="ar"/>
        </w:rPr>
        <w:fldChar w:fldCharType="end"/>
      </w:r>
      <w:r>
        <w:rPr>
          <w:rStyle w:val="61"/>
          <w:rFonts w:hint="eastAsia" w:eastAsia="仿宋_GB2312"/>
          <w:color w:val="auto"/>
          <w:spacing w:val="0"/>
          <w:sz w:val="32"/>
          <w:szCs w:val="32"/>
          <w:lang w:val="en-US" w:eastAsia="zh-CN" w:bidi="ar"/>
        </w:rPr>
        <w:t>提出：“落实企业安全生产费用提取管理使用制度，建立企业增加安全投入的激励约束机制”。为贯彻落实党中央、国务院关于企业安全生产的有关决策部署，新增《中共中央 国务院关于推进安全生产领域改革发展的意见》为政策依据。</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本办法适用于在中华人民共和国境内直接从事煤炭生产、非煤矿山开采、石油天然气开采、建设工程施工、危险品生产与储存、交通运输、烟花爆竹生产、民用爆炸物品生产、冶金、机械制造、武器装备研制生产与试验（含民用航空及核燃料）、电力生产与供应的企业及其他经济组织（以下统称企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本条是办法的适用范围。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办法的适用对象，具体包括从事煤炭生产、非煤矿山开采、建设工程施工、危险品生产与储存等12类行业企业。与原办法相比，本次修订增加了民用爆炸物品生产、电力生产与供应两类企业，主要考虑：民用爆炸物品生产企业主要生产工业炸药、工业雷管等民用爆破器材，由于产品性质的特殊及生产过程的危险性，生产活动中易发生爆炸事故，属于高危行业。电力行业是国民经济中重要的基础产业，电力安全生产关系人民生命财产安全，关系国计民生和经济发展全局。随着电力系统规模不断扩大，新设备新技术新领域带来的新风险，特别是首台首套设备、特高压设备在电力系统推广应用，以及电化学储能的快速发展与规模化应用暴露出的新问题新风险需要采取防治措施，鉴于电力行业安全生产的特殊性、复杂性以及对社会经济发展的极端重要性，有必要加大电力行业安全生产投入保障。此外，基于与其他非煤矿山开采作业活动、安全生产投入方向以及安全监管的差异化，本次修订将石油天然气开采企业单列。</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其他经济组织是指上述行业领域依法成立，有一定的组织机构和财产，但不具备法人资格的组织。包括私营独资企业、合伙组织、法人依法设立的分支机构等。</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中华人民共和国境内，指除中华人民共和国拥有主权的香港特别行政区、澳门特别行政区以及台湾地区之外的中华人民共和国领土。</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第三条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本办法所称企业安全生产费用是指企业按照规定标准提取，在成本（费用）中列支，专门用于完善和改进企业或者项目安全生产条件的资金。</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本条是企业安全生产费用的定义。</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国家建立企业安全生产费用提取制度的目的，是为了保障危险性较高的行业企业加强安全生产投入，提高安全装备水平，改善安全生产条件。安全生产投入是一个广义范畴，指为确保安全生产所需的条件，提升安全生产水平进行的资金投入。从2004年开始，国家为引导企业加大安全生产投入，相继出台了煤矿及其他高危行业安全生产费用提取制度、安全生产专用设备企业所得税优惠目录、煤层气抽采利用优惠政策、安全生产责任保险制度等一系列经济政策，同时安排各类国拨专项资金支持煤矿安全技改建设、瓦斯防治和尾矿库治理，以及安全生产预防及应急能力建设，促进了企业安全生产投入长效机制和风险保障机制的建立。在企业层面，需要建立实施安全生产费用提取制度，为安全生产投入提前作出财务安排，保障资金来源，有利于进一步落实企业安全生产投入的主体责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安全生产法》第二十三条规定：“生产经营单位应当具备的安全生产条件所必需的资金投入，由生产经营单位的决策机构、主要负责人或者个人经营的投资人予以保证，并对由于安全生产所必需的资金投入不足导致的后果承担责任。有关生产经营单位应当按照规定提取和使用安全生产费用，专门用于改善安全生产条件”。此条款与法律相衔接，明确了企业安全生产投入责任、安全生产费用管理方式、费用性质、列支渠道等。</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仿宋"/>
          <w:b/>
          <w:color w:val="auto"/>
          <w:kern w:val="0"/>
          <w:sz w:val="32"/>
          <w:szCs w:val="32"/>
          <w:highlight w:val="none"/>
        </w:rPr>
      </w:pPr>
      <w:r>
        <w:rPr>
          <w:rFonts w:hint="eastAsia" w:ascii="黑体" w:hAnsi="黑体" w:eastAsia="黑体"/>
          <w:color w:val="auto"/>
          <w:kern w:val="44"/>
          <w:sz w:val="32"/>
          <w:szCs w:val="32"/>
          <w:highlight w:val="none"/>
        </w:rPr>
        <w:t>第四条</w:t>
      </w:r>
      <w:r>
        <w:rPr>
          <w:rFonts w:hint="eastAsia" w:ascii="仿宋_GB2312" w:hAnsi="宋体" w:eastAsia="仿宋_GB2312" w:cs="宋体"/>
          <w:bCs/>
          <w:color w:val="auto"/>
          <w:kern w:val="0"/>
          <w:sz w:val="32"/>
          <w:szCs w:val="32"/>
          <w:highlight w:val="none"/>
        </w:rPr>
        <w:t xml:space="preserve"> </w:t>
      </w:r>
      <w:r>
        <w:rPr>
          <w:rFonts w:hint="eastAsia" w:ascii="仿宋_GB2312" w:hAnsi="仿宋" w:eastAsia="仿宋_GB2312" w:cs="仿宋"/>
          <w:b/>
          <w:color w:val="auto"/>
          <w:kern w:val="0"/>
          <w:sz w:val="32"/>
          <w:szCs w:val="32"/>
          <w:highlight w:val="none"/>
        </w:rPr>
        <w:t>企业安全生产费用管理遵循以下原则：</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仿宋"/>
          <w:b/>
          <w:color w:val="auto"/>
          <w:sz w:val="32"/>
          <w:szCs w:val="32"/>
          <w:highlight w:val="none"/>
        </w:rPr>
      </w:pPr>
      <w:r>
        <w:rPr>
          <w:rFonts w:hint="eastAsia" w:ascii="仿宋_GB2312" w:hAnsi="仿宋" w:eastAsia="仿宋_GB2312" w:cs="仿宋"/>
          <w:b/>
          <w:color w:val="auto"/>
          <w:kern w:val="0"/>
          <w:sz w:val="32"/>
          <w:szCs w:val="32"/>
          <w:highlight w:val="none"/>
        </w:rPr>
        <w:t>（一）筹措有章。统筹发展和安全，依法落实企业安全生产投入主体责任，足额提取。</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仿宋"/>
          <w:b/>
          <w:color w:val="auto"/>
          <w:sz w:val="32"/>
          <w:szCs w:val="32"/>
          <w:highlight w:val="none"/>
        </w:rPr>
      </w:pPr>
      <w:r>
        <w:rPr>
          <w:rFonts w:hint="eastAsia" w:ascii="仿宋_GB2312" w:hAnsi="仿宋" w:eastAsia="仿宋_GB2312" w:cs="仿宋"/>
          <w:b/>
          <w:color w:val="auto"/>
          <w:sz w:val="32"/>
          <w:szCs w:val="32"/>
          <w:highlight w:val="none"/>
        </w:rPr>
        <w:t>（二）支出有据。企业根据生产经营实际需要，据实开支符合规定的安全生产费用。</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仿宋"/>
          <w:b/>
          <w:color w:val="auto"/>
          <w:sz w:val="32"/>
          <w:szCs w:val="32"/>
          <w:highlight w:val="none"/>
        </w:rPr>
      </w:pPr>
      <w:r>
        <w:rPr>
          <w:rFonts w:hint="eastAsia" w:ascii="仿宋_GB2312" w:hAnsi="仿宋" w:eastAsia="仿宋_GB2312" w:cs="仿宋"/>
          <w:b/>
          <w:color w:val="auto"/>
          <w:sz w:val="32"/>
          <w:szCs w:val="32"/>
          <w:highlight w:val="none"/>
        </w:rPr>
        <w:t>（三）管理有序。企业专项核算和归集安全生产费用，真实反映安全生产条件改善投入，不得挤占、挪用。</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仿宋"/>
          <w:b/>
          <w:color w:val="auto"/>
          <w:sz w:val="32"/>
          <w:szCs w:val="32"/>
          <w:highlight w:val="none"/>
        </w:rPr>
      </w:pPr>
      <w:r>
        <w:rPr>
          <w:rFonts w:hint="eastAsia" w:ascii="仿宋_GB2312" w:hAnsi="仿宋" w:eastAsia="仿宋_GB2312" w:cs="仿宋"/>
          <w:b/>
          <w:color w:val="auto"/>
          <w:sz w:val="32"/>
          <w:szCs w:val="32"/>
          <w:highlight w:val="none"/>
        </w:rPr>
        <w:t>（四）监督有效。建立健全企业安全生产费用提取和使用的内外部监督机制，按规定开展信息披露和社会责任报告。</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本条是企业安全生产费用提取和使用的总体原则，是对原办法第三条内容的修订。</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随着企业安全生产费用提取和使用政策的深入实施，原办法“企业提取、政府监管、确保需要、规范使用”的原则已基本达成共识。为应对安全生产新形势，贯彻安全发展新理念，新办法提出“筹措有章、支出有据、管理有序、监督有效”原则，继续优化企业安全生产费用管理，堵塞监督管理漏洞，保障资金规范有效使用，推动企业安全生产投入主体责任落实。</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——筹措有章。企业按照《中华人民共和国安全生产法》等有关法律法规规定，落实安全生产投入主体责任，编制年度企业安全生产费用提取和使用计划，纳入企业财务预算，确保安全生产所需资金投入。</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——支出有据。企业根据安全生产实际需要进行安全生产投入建设，安全生产费用必须符合本办法规定的支出范围，并取得发票、收据、转账凭证等真实凭证。</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——管理有序。企业加强安全生产费用管理，真实反映安全生产条件改善投入，不得变相挤占、挪作他用。企业建立健全安全生产费用提取和使用台账，清晰反映企业安全生产费用提取使用情况。</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Times New Roman"/>
          <w:color w:val="auto"/>
          <w:kern w:val="0"/>
          <w:sz w:val="32"/>
          <w:szCs w:val="32"/>
          <w:highlight w:val="none"/>
        </w:rPr>
      </w:pPr>
      <w:r>
        <w:rPr>
          <w:rFonts w:hint="eastAsia" w:ascii="仿宋_GB2312" w:hAnsi="仿宋" w:eastAsia="仿宋_GB2312" w:cs="Times New Roman"/>
          <w:color w:val="auto"/>
          <w:kern w:val="0"/>
          <w:sz w:val="32"/>
          <w:szCs w:val="32"/>
          <w:highlight w:val="none"/>
        </w:rPr>
        <w:t>——监督有效。负有安全生产监督管理职责的部门和财政部门依法对企业安全生产费用提取、使用和管理进行监督检查。企业安全生产费用提取和使用情况</w:t>
      </w:r>
      <w:r>
        <w:rPr>
          <w:rFonts w:ascii="仿宋_GB2312" w:hAnsi="仿宋" w:eastAsia="仿宋_GB2312" w:cs="Times New Roman"/>
          <w:color w:val="auto"/>
          <w:kern w:val="0"/>
          <w:sz w:val="32"/>
          <w:szCs w:val="32"/>
          <w:highlight w:val="none"/>
        </w:rPr>
        <w:t>按规定开展信息</w:t>
      </w:r>
      <w:r>
        <w:rPr>
          <w:rFonts w:hint="eastAsia" w:ascii="仿宋_GB2312" w:hAnsi="仿宋" w:eastAsia="仿宋_GB2312" w:cs="Times New Roman"/>
          <w:color w:val="auto"/>
          <w:kern w:val="0"/>
          <w:sz w:val="32"/>
          <w:szCs w:val="32"/>
          <w:highlight w:val="none"/>
        </w:rPr>
        <w:t>披露，并纳入企业社会责任报告，强化政府监管和社会监督，保障制度有效实施。</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第五条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企业安全生产费用可由企业用于以下范围的支出：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购置购建、更新改造、检测检验、检定校准、运行维护安全防护和紧急避险设施、设备支出[不含按照“建设项目安全设施必须与主体工程同时设计、同时施工、同时投入生产和使用”（以下简称“三同时”）规定投入的安全设施、设备]；</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（二）购置、开发、推广应用、更新升级、运行维护安全生产信息系统、软件、网络安全、技术支出；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（三）配备、更新、维护、保养安全防护用品和应急救援器材、设备支出；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（四）企业应急救援队伍建设（含建设应急救援队伍所需应急救援物资储备、人员培训等方面）、安全生产宣传教育培训、从业人员发现报告事故隐患的奖励支出；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（五）安全生产责任保险、承运人责任险等与安全生产直接相关的法定保险支出；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（六）安全生产检查检测、评估评价（不含新建、改建、扩建项目安全评价）、评审、咨询、标准化建设、应急预案制修订、应急演练支出；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（七）与安全生产直接相关的其他支出。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本条是企业安全生产费用支出范围的概括性规定。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本条为新增条款，主要是对12类行业企业安全生产费用支出范围的共性支出内容进行归纳概括，强化相关行业企业、有关监督管理部门对安全生产费用使用方向的总体把握。</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企业安全生产费用具体支出范围界定为：安全防护和紧急避险设施设备、安全生产信息化建设、安全防护用品和应急救援器材设备、企业应急救援队伍建设、安全生产宣传教育培训、从业人员发现报告事故隐患的奖励、安全生产责任保险、承运人责任险、安全生产检查检测、评估评价、评审、咨询、标准化建设、应急预案制修订、应急演练等方面。不同行业企业，其安全生产条件的改善和事故的预防具有不同要求，其安全生产费用支出方向也有一定差异，具体见办法第二章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中，对于企业投产时按照“三同时”要求初期投入的安全设施、新建、改建、扩建项目安全评价，不在支出范围内；对于安全生产责任保险，指《安全生产责任保险实施办法》（安监总办〔2017〕140号）规定的安全生产责任保险；对于承运人责任险，指《中华人民共和国道路运输条例》第三十五条规定的承运人责任险。</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从业人员发现报告事故隐患的奖励支出涉及工资总额、税收等问题的，按照工资管理、税收等国家有关部门的规定执行。</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职业病防治法》第四十一条明确：“用人单位按照职业病防治要求，用于预防和治理职业病危害、工作场所卫生检测、健康监护和职业卫生培训等费用，按照国家有关规定，在生产成本中据实列支”。因此，企业职业病危害防治方面（包括职业病危害因素检测、职业健康体检等）支出则不在提取的安全生产费用中列支。</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由于部分企业在安全生产费用使用方面存在界定划分不清、列支存在争议等问题，为解决企业安全生产费用使用、列支界定难点问题，解读分行业列举了部分企业安全生产费用支出负面清单，对不宜列入企业安全生产费用的支出进行明确。对于不在规定范围和负面清单中的某项具体支出是否符合安全生产费用支出范围，由企业结合“完善和改进企业或者项目安全生产条件、降低安全隐患或事故风险”等原则，参照办法规定精神，合理判断、规范列支。</w:t>
      </w:r>
      <w:bookmarkStart w:id="2" w:name="_Toc147996021"/>
      <w:bookmarkStart w:id="3" w:name="_Toc152145207"/>
    </w:p>
    <w:p>
      <w:pPr>
        <w:keepNext w:val="0"/>
        <w:keepLines w:val="0"/>
        <w:pageBreakBefore w:val="0"/>
        <w:widowControl w:val="0"/>
        <w:tabs>
          <w:tab w:val="left" w:pos="1418"/>
        </w:tabs>
        <w:kinsoku/>
        <w:wordWrap/>
        <w:overflowPunct/>
        <w:topLinePunct w:val="0"/>
        <w:bidi w:val="0"/>
        <w:spacing w:line="560" w:lineRule="exact"/>
        <w:ind w:firstLine="880" w:firstLineChars="200"/>
        <w:rPr>
          <w:rFonts w:hint="eastAsia" w:ascii="Times New Roman" w:hAnsi="Times New Roman" w:eastAsia="方正小标宋简体" w:cs="Times New Roman"/>
          <w:b w:val="0"/>
          <w:bCs w:val="0"/>
          <w:color w:val="auto"/>
          <w:spacing w:val="0"/>
          <w:kern w:val="0"/>
          <w:sz w:val="44"/>
          <w:szCs w:val="44"/>
          <w:shd w:val="clear" w:color="auto" w:fill="FFFFFF"/>
          <w:lang w:val="en-US" w:eastAsia="zh-CN" w:bidi="ar-SA"/>
        </w:rPr>
      </w:pPr>
    </w:p>
    <w:p>
      <w:pPr>
        <w:keepNext w:val="0"/>
        <w:keepLines w:val="0"/>
        <w:pageBreakBefore w:val="0"/>
        <w:widowControl w:val="0"/>
        <w:tabs>
          <w:tab w:val="left" w:pos="1418"/>
        </w:tabs>
        <w:kinsoku/>
        <w:wordWrap/>
        <w:overflowPunct/>
        <w:topLinePunct w:val="0"/>
        <w:bidi w:val="0"/>
        <w:spacing w:line="560" w:lineRule="exact"/>
        <w:jc w:val="center"/>
        <w:rPr>
          <w:rFonts w:hint="eastAsia" w:asciiTheme="minorHAnsi" w:hAnsiTheme="minorHAnsi" w:eastAsiaTheme="minorEastAsia" w:cstheme="minorBidi"/>
          <w:b/>
          <w:bCs/>
          <w:color w:val="auto"/>
          <w:kern w:val="44"/>
          <w:sz w:val="36"/>
          <w:szCs w:val="36"/>
          <w:highlight w:val="none"/>
          <w:lang w:val="en-US" w:eastAsia="zh-CN" w:bidi="ar-SA"/>
        </w:rPr>
      </w:pPr>
      <w:r>
        <w:rPr>
          <w:rFonts w:hint="eastAsia" w:asciiTheme="minorHAnsi" w:hAnsiTheme="minorHAnsi" w:eastAsiaTheme="minorEastAsia" w:cstheme="minorBidi"/>
          <w:b/>
          <w:bCs/>
          <w:color w:val="auto"/>
          <w:kern w:val="44"/>
          <w:sz w:val="36"/>
          <w:szCs w:val="36"/>
          <w:highlight w:val="none"/>
          <w:lang w:val="en-US" w:eastAsia="zh-CN" w:bidi="ar-SA"/>
        </w:rPr>
        <w:t>第二章 企业安全生产费用的提取和使用</w:t>
      </w:r>
      <w:bookmarkEnd w:id="2"/>
      <w:bookmarkEnd w:id="3"/>
    </w:p>
    <w:p>
      <w:pPr>
        <w:keepNext w:val="0"/>
        <w:keepLines w:val="0"/>
        <w:pageBreakBefore w:val="0"/>
        <w:widowControl w:val="0"/>
        <w:kinsoku/>
        <w:wordWrap/>
        <w:overflowPunct/>
        <w:topLinePunct w:val="0"/>
        <w:bidi w:val="0"/>
        <w:spacing w:line="560" w:lineRule="exact"/>
        <w:rPr>
          <w:rFonts w:hint="eastAsia"/>
          <w:color w:val="auto"/>
          <w:sz w:val="36"/>
          <w:szCs w:val="36"/>
          <w:highlight w:val="none"/>
        </w:rPr>
      </w:pPr>
    </w:p>
    <w:p>
      <w:pPr>
        <w:pStyle w:val="2"/>
        <w:keepNext w:val="0"/>
        <w:keepLines w:val="0"/>
        <w:pageBreakBefore w:val="0"/>
        <w:widowControl w:val="0"/>
        <w:kinsoku/>
        <w:wordWrap/>
        <w:overflowPunct/>
        <w:topLinePunct w:val="0"/>
        <w:bidi w:val="0"/>
        <w:spacing w:after="0" w:line="560" w:lineRule="exact"/>
        <w:ind w:firstLine="640" w:firstLineChars="200"/>
        <w:rPr>
          <w:rFonts w:hint="eastAsia"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pStyle w:val="2"/>
        <w:keepNext w:val="0"/>
        <w:keepLines w:val="0"/>
        <w:pageBreakBefore w:val="0"/>
        <w:widowControl w:val="0"/>
        <w:kinsoku/>
        <w:wordWrap/>
        <w:overflowPunct/>
        <w:topLinePunct w:val="0"/>
        <w:bidi w:val="0"/>
        <w:spacing w:after="0"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本章在原办法第二章安全费用的提取标准和第三章安全费用的使用基础上整合修订形成，结合12类行业企业安全生产费用提取和使用设置12个专节。</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4" w:name="_Toc152145208"/>
      <w:bookmarkStart w:id="5" w:name="_Toc147996022"/>
      <w:r>
        <w:rPr>
          <w:rFonts w:hint="eastAsia" w:ascii="黑体" w:hAnsi="黑体" w:eastAsia="黑体"/>
          <w:b w:val="0"/>
          <w:color w:val="auto"/>
          <w:highlight w:val="none"/>
        </w:rPr>
        <w:t>第一节  煤炭生产企业</w:t>
      </w:r>
      <w:bookmarkEnd w:id="4"/>
      <w:bookmarkEnd w:id="5"/>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第六条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煤炭生产是指煤炭资源开采作业有关活动。</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批准进行联合试运转的基本建设煤矿，按照本节规定提取使用企业安全生产费用。</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本条是适用办法的煤炭生产行业的属性内涵。</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次修订增加了“批准进行联合试运转的基本建设煤矿，按照本节规定提取使用企业安全生产费用”规定。主要考虑到部分批准进行联合试运转的基本建设煤矿已经形成正常的生产能力，安全风险与正常生产矿山相差不大，且近几年基建矿山易发生重大事故，2022年贵州三河顺勋煤矿边建设、边生产，发生重大顶板事故，死亡14人。按基建矿井建筑安装工程造价2.5%计提安全生产费用远不能满足安全生产投入要求，规定其按照煤炭生产企业相关规定提取使用安全生产费用。</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color w:val="auto"/>
          <w:kern w:val="44"/>
          <w:sz w:val="32"/>
          <w:szCs w:val="32"/>
          <w:highlight w:val="none"/>
        </w:rPr>
        <w:t>第七条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煤炭生产企业依据当月开采的原煤产量，于月末提取企业安全生产费用。提取标准如下：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（一）煤（岩）与瓦斯（二氧化碳）突出矿井、冲击地压矿井吨煤50元；</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（二）高瓦斯矿井，水文地质类型复杂、极复杂矿井，容易自燃煤层矿井吨煤30元；</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（三）其他井工矿吨煤15元；</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（四）露天矿吨煤5元。</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矿井瓦斯等级划分执行《煤矿安全规程》（应急管理部令第8号）和《煤矿瓦斯等级鉴定办法》（煤安监技装〔2018〕9号）的规定；矿井冲击地压判定执行《煤矿安全规程》（应急管理部令第8号）和《防治煤矿冲击地压细则》（煤安监技装〔2018〕8号）的规定；矿井水文地质类型划分执行《煤矿安全规程》（应急管理部令第8号）和《煤矿防治水细则》（煤安监调查〔2018〕14号）的规定。</w:t>
      </w:r>
    </w:p>
    <w:p>
      <w:pPr>
        <w:keepNext w:val="0"/>
        <w:keepLines w:val="0"/>
        <w:pageBreakBefore w:val="0"/>
        <w:widowControl w:val="0"/>
        <w:kinsoku/>
        <w:wordWrap/>
        <w:overflowPunct/>
        <w:topLinePunct w:val="0"/>
        <w:bidi w:val="0"/>
        <w:spacing w:line="560" w:lineRule="exact"/>
        <w:ind w:firstLine="642" w:firstLineChars="200"/>
        <w:jc w:val="left"/>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多种灾害并存矿井，从高提取企业安全生产费用。</w:t>
      </w:r>
    </w:p>
    <w:p>
      <w:pPr>
        <w:keepNext w:val="0"/>
        <w:keepLines w:val="0"/>
        <w:pageBreakBefore w:val="0"/>
        <w:widowControl w:val="0"/>
        <w:kinsoku/>
        <w:wordWrap/>
        <w:overflowPunct/>
        <w:topLinePunct w:val="0"/>
        <w:bidi w:val="0"/>
        <w:spacing w:line="560" w:lineRule="exact"/>
        <w:ind w:firstLine="640" w:firstLineChars="200"/>
        <w:jc w:val="left"/>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本条是煤炭生产企业安全生产费用的提取标准。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计提基础。煤矿安全生产资金投入与开采方式、矿井设计能力和原煤实际产量都有一定关系，有些费用受开采方式影响，有些费用受设计能力制约，有些费用又随实际产量的变化而变化，难以确定各项因素对安全生产投入的影响程度。从实际投入看，安全生产费用受实际产量影响最大，因此确定安全生产费用按原煤实际产量提取。原煤实际产量包括：生产矿井的生产煤量和工程煤量，不包括洗选煤和外购原煤。</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按灾害程度分类。煤矿安全生产投入与矿井灾害程度有着直接关系，且地下矿山安全风险远高于露天矿山，矿井灾害程度越重，其安全生产投入越大。因此，在提取标准上按照煤与瓦斯突出、冲击地压、高瓦斯、容易自燃煤层和水害隐患严重矿井、其他井工矿、露天矿分类确定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修订内容。考虑到近几年我国部分地区煤与瓦斯突出矿井、冲击地压矿井、水害隐患严重矿井安全生产投入状况，同时容易自燃、自燃煤层分布广，自然发火严重影响煤矿安全生产，且随着工作面向深部延伸，受断层、水、火、瓦斯威胁更大，安全生产投入逐年增加，原办法提取标准已无法满足实际的安全生产投入需要。本次修订将煤（岩）与瓦斯（二氧化碳）突出矿井提取标准由吨煤30元提至吨煤50元，明确冲击地压矿井吨煤50元，水文地质类型复杂、极复杂矿井、容易自燃煤层矿井提取标准为吨煤30元。对于多种灾害并存矿井，如煤矿既是冲击地压矿井，又是水文地质类型复杂矿井，办法规定从高提取安全生产费用，即按照吨煤50元提取。</w:t>
      </w:r>
    </w:p>
    <w:p>
      <w:pPr>
        <w:keepNext w:val="0"/>
        <w:keepLines w:val="0"/>
        <w:pageBreakBefore w:val="0"/>
        <w:widowControl w:val="0"/>
        <w:kinsoku/>
        <w:wordWrap/>
        <w:overflowPunct/>
        <w:topLinePunct w:val="0"/>
        <w:bidi w:val="0"/>
        <w:spacing w:line="560" w:lineRule="exact"/>
        <w:ind w:firstLine="640" w:firstLineChars="200"/>
        <w:jc w:val="left"/>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此外，办法更新了《煤矿安全规程》《煤矿瓦斯等级鉴定办法》，增加了冲击地压矿井、水文地质类型复杂、极复杂矿井对应类型划分依据，即“矿井冲击地压判定执行《煤矿安全规程》（应急管理部令第8号）和《防治煤矿冲击地压细则》（煤安监技装〔2018〕8号）的规定；矿井水文地质类型划分执行《煤矿安全规程》（应急管理部令第8号）和《煤矿防治水细则》（煤安监调查〔2018〕14号）的规定”。煤层自燃倾向性划分执行《煤矿安全规程》（应急管理部令第8号）和《煤矿防灭火细则》（矿安〔2021〕156号）的规定。</w:t>
      </w:r>
    </w:p>
    <w:p>
      <w:pPr>
        <w:keepNext w:val="0"/>
        <w:keepLines w:val="0"/>
        <w:pageBreakBefore w:val="0"/>
        <w:widowControl w:val="0"/>
        <w:kinsoku/>
        <w:wordWrap/>
        <w:overflowPunct/>
        <w:topLinePunct w:val="0"/>
        <w:bidi w:val="0"/>
        <w:spacing w:line="560" w:lineRule="exact"/>
        <w:ind w:firstLine="640" w:firstLineChars="200"/>
        <w:jc w:val="left"/>
        <w:rPr>
          <w:rFonts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第八条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煤炭生产企业安全生产费用应当用于以下支出：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 xml:space="preserve">（一）煤与瓦斯突出及高瓦斯矿井落实综合防突措施支出，包括瓦斯区域预抽、保护层开采区域防突措施、开展突出区域和局部预测、实施局部补充防突措施等两个“四位一体”综合防突措施，以及更新改造防突设备和设施、建立突出防治实验室等支出； </w:t>
      </w:r>
      <w:r>
        <w:rPr>
          <w:rFonts w:ascii="仿宋_GB2312" w:hAnsi="仿宋" w:eastAsia="仿宋_GB2312" w:cs="宋体"/>
          <w:b/>
          <w:color w:val="auto"/>
          <w:kern w:val="0"/>
          <w:sz w:val="32"/>
          <w:szCs w:val="32"/>
          <w:highlight w:val="none"/>
        </w:rPr>
        <w:t xml:space="preserve"> </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（二）冲击地压矿井落实防冲措施支出，包括开展冲击地压危险性预测、监测预警、防范治理、效果检验、安全防护等防治措施，更新改造防冲设备和设施，建立防冲实验室等支出；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煤矿安全生产改造和重大事故隐患治理支出，包括通风、防瓦斯、防煤尘、防灭火、防治水、顶板、供电、运输等系统设备改造和灾害治理工程，实施煤矿机械化改造、智能化建设，实施矿压、热害、露天煤矿边坡治理等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27" w:firstLineChars="196"/>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智能化建设，2020年国家发展改革委、国家能源局、应急部、国家煤矿安监局、工业和信息化部、财政部、科技部、教育部8部委联合印发了《关于加快煤矿智能化发展的指导意见》（发改能源〔2020〕283号），意见提出五个方面保障措施，其中包括加大政策支持力度，建立智能化发展长效机制，将煤矿相关智能化改造纳入煤矿安全技术改造范围，探索研究将相关投入列入安全费用使用范围。</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完善煤矿井下监测监控、人员位置监测、紧急避险、压风自救、供水施救和通信联络等安全避险设施设备支出，应急救援技术装备、设施配置和维护保养支出，事故逃生和紧急避难设施设备的配置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（五）开展重大危险源检测、评估、监控支出，安全风险分级管控和事故隐患排查整改支出，安全生产信息化建设、运维和网络安全支出；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（六）安全生产检查、评估评价（不含新建、改建、扩建项目安全评价）、咨询、标准化建设支出；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安全生产宣传、教育、培训支出”与“职工教育经费”的关系：2006年，财政部、中华全国总工会、国家发展改革委、教育部、科技部、国防科工委、人事部、劳动保障部、国资委、国家税务总局、全国工商联联合印发了《关于企业职工教育经费提取与使用管理的意见》(财建〔2006〕317号)，意见明确：企业职工教育培训经费列支范围包括上岗和转岗培训、各类岗位适应性培训、岗位培训、职业技术等级培训、高技能人才培训、专业技术人员继续教育、特种作业人员培训、企业组织的职工外送培训的经费支出、职工参加的职业技能鉴定、职业资格认证等经费支出、购置教学设备与设施、职工岗位自学成才奖励费用、职工教育培训管理费用、有关职工教育的其他开支。《财政部　税务总局关于企业职工教育经费税前扣除政策的通知》(财税〔2018〕51号)规定，企业发生的职工教育经费，不超过工资薪金总额8%的部分，准予在计算企业所得税应纳税所得额时扣除；超过部分，准予在以后纳税年度结转扣除。《煤矿安全培训规定》规定，煤矿企业应当建立完善安全培训管理制度，配备专职或者兼职安全培训管理人员，按照国家规定的比例提取教育培训经费。其中，用于安全培训的资金不得低于教育培训经费总额的40%。该规定针对煤矿企业主要负责人、安全生产管理人员、特种作业人员和其他从业人员的安全培训和考核进行了明确。</w:t>
      </w:r>
    </w:p>
    <w:p>
      <w:pPr>
        <w:keepNext w:val="0"/>
        <w:keepLines w:val="0"/>
        <w:pageBreakBefore w:val="0"/>
        <w:widowControl w:val="0"/>
        <w:kinsoku/>
        <w:wordWrap/>
        <w:overflowPunct/>
        <w:topLinePunct w:val="0"/>
        <w:bidi w:val="0"/>
        <w:spacing w:line="560" w:lineRule="exact"/>
        <w:ind w:firstLine="627" w:firstLineChars="196"/>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结合本办法和上述政策规定，企业发生的安全生产教育、培训支出可列入职工教育经费，也可列入安全生产费用，但不得重复列支，同一类型支出列支渠道应当保持一致。</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（九）安全生产适用新技术、新标准、新工艺、煤矿智能装备及煤矿机器人等新装备的推广应用支出；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（十一）安全生产责任保险支出；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（十二）与安全生产直接相关的其他支出。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本条是煤炭生产企业安全生产费用的使用范围。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十七条修订，增加了冲击地压矿井落实防冲措施支出、煤矿智能装备及煤矿机器人等推广应用支出。同时，根据近几年企业安全生产需求，将应急救援队伍建设与应急预案制修订、重大危险源检测、安全风险分级管控、事故隐患排查、安全生产信息化、智能化建设、运维和网络安全、安全生产责任保险及从业人员发现并报告事故隐患的奖励、安全设施及特种设备检定校准等支出内容纳入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关于安全风险分级管控和事故隐患排查，《中华人民共和国安全生产法》第四条：构建安全风险分级管控和隐患排查治理双重预防机制，《中共中央 国务院关于推进安全生产领域改革发展的意见》要求“构建风险分级管控和隐患排查治理双重预防工作机制”，《“十四五”国家应急体系规划》提出：研究将安全风险分级管控和隐患排查治理列入企业安全生产费用支出范围。关于从业人员发现并报告事故隐患奖励，是考虑到事故隐患随着生产活动的进行而产生、发展，现场一线工作人员往往最早发现，及时发现隐患并及时治理、消除隐患至关重要，适当的奖励能鼓励并建立安全人人有责的氛围。关于安全生产责任保险，《国务院安全生产委员会关于印发2019年工作要点的通知》（安委〔2019〕1号）明确要求“大力推行安全生产责任保险，将保费纳入企业安全生产费用提取使用范围”。</w:t>
      </w:r>
    </w:p>
    <w:p>
      <w:pPr>
        <w:keepNext w:val="0"/>
        <w:keepLines w:val="0"/>
        <w:pageBreakBefore w:val="0"/>
        <w:widowControl w:val="0"/>
        <w:kinsoku/>
        <w:wordWrap/>
        <w:overflowPunct/>
        <w:topLinePunct w:val="0"/>
        <w:bidi w:val="0"/>
        <w:spacing w:line="560" w:lineRule="exact"/>
        <w:ind w:firstLine="627" w:firstLineChars="196"/>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关于煤矿企业按照国家规定开展隐蔽致灾因素普查治理相关费用，其隐蔽致灾因素普查费用可列入“安全生产咨询”或“与安全生产直接相关的其他支出”，其灾害治理费用可根据本条第（一）～（三）款、第（五）款相关内容进行列支。</w:t>
      </w:r>
    </w:p>
    <w:p>
      <w:pPr>
        <w:keepNext w:val="0"/>
        <w:keepLines w:val="0"/>
        <w:pageBreakBefore w:val="0"/>
        <w:widowControl w:val="0"/>
        <w:kinsoku/>
        <w:wordWrap/>
        <w:overflowPunct/>
        <w:topLinePunct w:val="0"/>
        <w:bidi w:val="0"/>
        <w:spacing w:line="560" w:lineRule="exact"/>
        <w:jc w:val="center"/>
        <w:rPr>
          <w:rFonts w:ascii="仿宋" w:hAnsi="仿宋" w:eastAsia="仿宋"/>
          <w:color w:val="auto"/>
          <w:sz w:val="32"/>
          <w:szCs w:val="32"/>
          <w:highlight w:val="none"/>
        </w:rPr>
      </w:pPr>
      <w:r>
        <w:rPr>
          <w:rFonts w:hint="eastAsia" w:ascii="宋体" w:hAnsi="宋体" w:eastAsia="宋体"/>
          <w:b/>
          <w:color w:val="auto"/>
          <w:szCs w:val="21"/>
          <w:highlight w:val="none"/>
        </w:rPr>
        <w:t>煤炭生产</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安全生产改造和重大隐患治理支出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1.掘进、回采过程中的生产设备的购置和非“四化”建设改造支出；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.液压支架的购置费用</w:t>
            </w:r>
            <w:r>
              <w:rPr>
                <w:rFonts w:ascii="宋体" w:hAnsi="宋体" w:eastAsia="宋体"/>
                <w:color w:val="auto"/>
                <w:szCs w:val="21"/>
                <w:highlight w:val="none"/>
              </w:rPr>
              <w:t>、</w:t>
            </w:r>
            <w:r>
              <w:rPr>
                <w:rFonts w:hint="eastAsia" w:ascii="宋体" w:hAnsi="宋体" w:eastAsia="宋体"/>
                <w:color w:val="auto"/>
                <w:szCs w:val="21"/>
                <w:highlight w:val="none"/>
              </w:rPr>
              <w:t>维修费用；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s="宋体"/>
                <w:color w:val="auto"/>
                <w:kern w:val="0"/>
                <w:szCs w:val="21"/>
                <w:highlight w:val="none"/>
              </w:rPr>
              <w:t>3.</w:t>
            </w:r>
            <w:r>
              <w:rPr>
                <w:rFonts w:hint="eastAsia" w:ascii="宋体" w:hAnsi="宋体" w:eastAsia="宋体" w:cs="宋体"/>
                <w:color w:val="auto"/>
                <w:kern w:val="0"/>
                <w:szCs w:val="21"/>
                <w:highlight w:val="none"/>
              </w:rPr>
              <w:t>地面煤流生产线系统以外的环保用防控粉尘设施支出。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w:t>
            </w:r>
            <w:r>
              <w:rPr>
                <w:rFonts w:hint="eastAsia" w:ascii="宋体" w:hAnsi="宋体" w:eastAsia="宋体" w:cs="宋体"/>
                <w:color w:val="auto"/>
                <w:kern w:val="0"/>
                <w:szCs w:val="21"/>
                <w:highlight w:val="none"/>
              </w:rPr>
              <w:t>煤矿新建、改建、扩建项目安全评价费用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w:t>
            </w:r>
            <w:r>
              <w:rPr>
                <w:rFonts w:hint="eastAsia" w:ascii="宋体" w:hAnsi="宋体" w:eastAsia="宋体" w:cs="宋体"/>
                <w:color w:val="auto"/>
                <w:kern w:val="0"/>
                <w:szCs w:val="21"/>
                <w:highlight w:val="none"/>
              </w:rPr>
              <w:t>普通工作服、洗护用品</w:t>
            </w:r>
            <w:r>
              <w:rPr>
                <w:rFonts w:hint="eastAsia" w:ascii="宋体" w:hAnsi="宋体" w:eastAsia="宋体"/>
                <w:color w:val="auto"/>
                <w:szCs w:val="21"/>
                <w:highlight w:val="none"/>
              </w:rPr>
              <w:t>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普通机械设备（如采煤机</w:t>
            </w:r>
            <w:r>
              <w:rPr>
                <w:rFonts w:ascii="宋体" w:hAnsi="宋体" w:eastAsia="宋体"/>
                <w:color w:val="auto"/>
                <w:szCs w:val="21"/>
                <w:highlight w:val="none"/>
              </w:rPr>
              <w:t>、掘进机、</w:t>
            </w:r>
            <w:r>
              <w:rPr>
                <w:rFonts w:hint="eastAsia" w:ascii="宋体" w:hAnsi="宋体" w:eastAsia="宋体"/>
                <w:color w:val="auto"/>
                <w:szCs w:val="21"/>
                <w:highlight w:val="none"/>
              </w:rPr>
              <w:t>挖掘机</w:t>
            </w:r>
            <w:r>
              <w:rPr>
                <w:rFonts w:ascii="宋体" w:hAnsi="宋体" w:eastAsia="宋体"/>
                <w:color w:val="auto"/>
                <w:szCs w:val="21"/>
                <w:highlight w:val="none"/>
              </w:rPr>
              <w:t>、</w:t>
            </w:r>
            <w:r>
              <w:rPr>
                <w:rFonts w:hint="eastAsia" w:ascii="宋体" w:hAnsi="宋体" w:eastAsia="宋体"/>
                <w:color w:val="auto"/>
                <w:szCs w:val="21"/>
                <w:highlight w:val="none"/>
              </w:rPr>
              <w:t>胶带运输机</w:t>
            </w:r>
            <w:r>
              <w:rPr>
                <w:rFonts w:ascii="宋体" w:hAnsi="宋体" w:eastAsia="宋体"/>
                <w:color w:val="auto"/>
                <w:szCs w:val="21"/>
                <w:highlight w:val="none"/>
              </w:rPr>
              <w:t>、刮板运输机、液压支架等</w:t>
            </w:r>
            <w:r>
              <w:rPr>
                <w:rFonts w:hint="eastAsia" w:ascii="宋体" w:hAnsi="宋体" w:eastAsia="宋体"/>
                <w:color w:val="auto"/>
                <w:szCs w:val="21"/>
                <w:highlight w:val="none"/>
              </w:rPr>
              <w:t>）检测检验、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法定安全生产责任保险以外的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1</w:t>
            </w:r>
            <w:r>
              <w:rPr>
                <w:rFonts w:hint="eastAsia" w:ascii="宋体" w:hAnsi="宋体" w:eastAsia="宋体"/>
                <w:color w:val="auto"/>
                <w:szCs w:val="21"/>
                <w:highlight w:val="none"/>
              </w:rPr>
              <w:t>.从业人员发现并报告事故隐患奖励之外的安全生产考核奖励支出；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.爆炸品库建设以及购买生产用爆破器材、爆炸品费用支出；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3</w:t>
            </w:r>
            <w:r>
              <w:rPr>
                <w:rFonts w:hint="eastAsia" w:ascii="宋体" w:hAnsi="宋体" w:eastAsia="宋体" w:cs="宋体"/>
                <w:color w:val="auto"/>
                <w:kern w:val="0"/>
                <w:szCs w:val="21"/>
                <w:highlight w:val="none"/>
              </w:rPr>
              <w:t>.</w:t>
            </w:r>
            <w:r>
              <w:rPr>
                <w:rFonts w:hint="eastAsia" w:ascii="宋体" w:hAnsi="宋体" w:eastAsia="宋体"/>
                <w:color w:val="auto"/>
                <w:szCs w:val="21"/>
                <w:highlight w:val="none"/>
              </w:rPr>
              <w:t>保障和完善生产设施设备正常运行</w:t>
            </w:r>
            <w:r>
              <w:rPr>
                <w:rFonts w:hint="eastAsia" w:ascii="宋体" w:hAnsi="宋体" w:eastAsia="宋体" w:cs="宋体"/>
                <w:color w:val="auto"/>
                <w:kern w:val="0"/>
                <w:szCs w:val="21"/>
                <w:highlight w:val="none"/>
              </w:rPr>
              <w:t>的技改维修、技术服务、物料器材、更新拆除等支出；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4</w:t>
            </w:r>
            <w:r>
              <w:rPr>
                <w:rFonts w:hint="eastAsia" w:ascii="宋体" w:hAnsi="宋体" w:eastAsia="宋体" w:cs="宋体"/>
                <w:color w:val="auto"/>
                <w:kern w:val="0"/>
                <w:szCs w:val="21"/>
                <w:highlight w:val="none"/>
              </w:rPr>
              <w:t>.</w:t>
            </w:r>
            <w:r>
              <w:rPr>
                <w:rFonts w:hint="eastAsia" w:ascii="宋体" w:hAnsi="宋体" w:eastAsia="宋体"/>
                <w:color w:val="auto"/>
                <w:szCs w:val="21"/>
                <w:highlight w:val="none"/>
              </w:rPr>
              <w:t>专职或</w:t>
            </w:r>
            <w:r>
              <w:rPr>
                <w:rFonts w:ascii="宋体" w:hAnsi="宋体" w:eastAsia="宋体"/>
                <w:color w:val="auto"/>
                <w:szCs w:val="21"/>
                <w:highlight w:val="none"/>
              </w:rPr>
              <w:t>兼职安全管理人员</w:t>
            </w:r>
            <w:r>
              <w:rPr>
                <w:rFonts w:hint="eastAsia" w:ascii="宋体" w:hAnsi="宋体" w:eastAsia="宋体" w:cs="宋体"/>
                <w:color w:val="auto"/>
                <w:kern w:val="0"/>
                <w:szCs w:val="21"/>
                <w:highlight w:val="none"/>
              </w:rPr>
              <w:t>的薪酬、社保、岗位风险津贴，保安岗位人员</w:t>
            </w:r>
            <w:r>
              <w:rPr>
                <w:rFonts w:ascii="宋体" w:hAnsi="宋体" w:eastAsia="宋体" w:cs="宋体"/>
                <w:color w:val="auto"/>
                <w:kern w:val="0"/>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hint="eastAsia" w:ascii="宋体" w:hAnsi="宋体" w:eastAsia="宋体"/>
                <w:color w:val="auto"/>
                <w:szCs w:val="21"/>
                <w:highlight w:val="none"/>
              </w:rPr>
              <w:t>5.职业病危害因素检测、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6.</w:t>
            </w:r>
            <w:r>
              <w:rPr>
                <w:rFonts w:hint="eastAsia" w:ascii="宋体" w:hAnsi="宋体" w:eastAsia="宋体" w:cs="宋体"/>
                <w:color w:val="auto"/>
                <w:kern w:val="0"/>
                <w:szCs w:val="21"/>
                <w:highlight w:val="none"/>
              </w:rPr>
              <w:t>列入煤矿维简费使用范围的项目支出、企业生产经营所产生的日常</w:t>
            </w:r>
            <w:r>
              <w:rPr>
                <w:rFonts w:ascii="宋体" w:hAnsi="宋体" w:eastAsia="宋体" w:cs="宋体"/>
                <w:color w:val="auto"/>
                <w:kern w:val="0"/>
                <w:szCs w:val="21"/>
                <w:highlight w:val="none"/>
              </w:rPr>
              <w:t>运营</w:t>
            </w:r>
            <w:r>
              <w:rPr>
                <w:rFonts w:hint="eastAsia" w:ascii="宋体" w:hAnsi="宋体" w:eastAsia="宋体" w:cs="宋体"/>
                <w:color w:val="auto"/>
                <w:kern w:val="0"/>
                <w:szCs w:val="21"/>
                <w:highlight w:val="none"/>
              </w:rPr>
              <w:t>费用等。</w:t>
            </w:r>
          </w:p>
        </w:tc>
      </w:tr>
    </w:tbl>
    <w:p>
      <w:pPr>
        <w:keepNext w:val="0"/>
        <w:keepLines w:val="0"/>
        <w:pageBreakBefore w:val="0"/>
        <w:widowControl w:val="0"/>
        <w:tabs>
          <w:tab w:val="left" w:pos="1418"/>
        </w:tabs>
        <w:kinsoku/>
        <w:wordWrap/>
        <w:overflowPunct/>
        <w:topLinePunct w:val="0"/>
        <w:bidi w:val="0"/>
        <w:spacing w:line="560" w:lineRule="exact"/>
        <w:rPr>
          <w:rFonts w:ascii="楷体" w:hAnsi="楷体" w:eastAsia="楷体" w:cs="宋体"/>
          <w:color w:val="auto"/>
          <w:kern w:val="0"/>
          <w:szCs w:val="21"/>
          <w:highlight w:val="none"/>
        </w:rPr>
      </w:pPr>
      <w:r>
        <w:rPr>
          <w:rFonts w:hint="eastAsia" w:ascii="楷体" w:hAnsi="楷体" w:eastAsia="楷体" w:cs="宋体"/>
          <w:color w:val="auto"/>
          <w:kern w:val="0"/>
          <w:szCs w:val="21"/>
          <w:highlight w:val="none"/>
        </w:rPr>
        <w:t>注</w:t>
      </w:r>
      <w:r>
        <w:rPr>
          <w:rFonts w:ascii="楷体" w:hAnsi="楷体" w:eastAsia="楷体" w:cs="宋体"/>
          <w:color w:val="auto"/>
          <w:kern w:val="0"/>
          <w:szCs w:val="21"/>
          <w:highlight w:val="none"/>
        </w:rPr>
        <w:t>：</w:t>
      </w:r>
      <w:r>
        <w:rPr>
          <w:rFonts w:hint="eastAsia" w:ascii="楷体" w:hAnsi="楷体" w:eastAsia="楷体" w:cs="宋体"/>
          <w:color w:val="auto"/>
          <w:kern w:val="0"/>
          <w:szCs w:val="21"/>
          <w:highlight w:val="none"/>
        </w:rPr>
        <w:t>以上清单支出范围不宜列入煤炭生产企业安全生产费用，需要按原有费用渠道列支和管理。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6" w:name="_Toc152145209"/>
      <w:bookmarkStart w:id="7" w:name="_Toc147996023"/>
      <w:r>
        <w:rPr>
          <w:rFonts w:hint="eastAsia" w:ascii="黑体" w:hAnsi="黑体" w:eastAsia="黑体"/>
          <w:b w:val="0"/>
          <w:color w:val="auto"/>
          <w:highlight w:val="none"/>
        </w:rPr>
        <w:t>第二节  非煤矿山开采企业</w:t>
      </w:r>
      <w:bookmarkEnd w:id="6"/>
      <w:bookmarkEnd w:id="7"/>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第九条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非煤矿山开采是指金属矿、非金属矿及其他矿产资源的勘探作业和生产、选矿、闭坑及尾矿库运行、回采、闭库等有关活动。</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本条是适用办法的非煤矿山开采行业的属性内涵。</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次修订调整了非煤矿山开采企业适用范围。一是将尾矿库回采列入非煤矿山开采范畴，主要考虑到尾矿库回采对坝体安全参数、地下水埋渗、排洪系统稳定性等会产生影响，近年来因回采操作不当引发多起生产安全事故，需要加强尾矿库回采的安全防范措施，通过明确回采的安全生产费用投入要求，为回采工作提供安全资金保障；二是将原纳入</w:t>
      </w:r>
      <w:r>
        <w:rPr>
          <w:rFonts w:ascii="仿宋_GB2312" w:hAnsi="楷体" w:eastAsia="仿宋_GB2312" w:cs="宋体"/>
          <w:color w:val="auto"/>
          <w:kern w:val="0"/>
          <w:sz w:val="32"/>
          <w:szCs w:val="32"/>
          <w:highlight w:val="none"/>
        </w:rPr>
        <w:t>非煤矿山开采范畴的</w:t>
      </w:r>
      <w:r>
        <w:rPr>
          <w:rFonts w:hint="eastAsia" w:ascii="仿宋_GB2312" w:hAnsi="楷体" w:eastAsia="仿宋_GB2312" w:cs="宋体"/>
          <w:color w:val="auto"/>
          <w:kern w:val="0"/>
          <w:sz w:val="32"/>
          <w:szCs w:val="32"/>
          <w:highlight w:val="none"/>
        </w:rPr>
        <w:t>石油和天然气开采、</w:t>
      </w:r>
      <w:r>
        <w:rPr>
          <w:rFonts w:ascii="仿宋_GB2312" w:hAnsi="楷体" w:eastAsia="仿宋_GB2312" w:cs="宋体"/>
          <w:color w:val="auto"/>
          <w:kern w:val="0"/>
          <w:sz w:val="32"/>
          <w:szCs w:val="32"/>
          <w:highlight w:val="none"/>
        </w:rPr>
        <w:t>煤层气（</w:t>
      </w:r>
      <w:r>
        <w:rPr>
          <w:rFonts w:hint="eastAsia" w:ascii="仿宋_GB2312" w:hAnsi="楷体" w:eastAsia="仿宋_GB2312" w:cs="宋体"/>
          <w:color w:val="auto"/>
          <w:kern w:val="0"/>
          <w:sz w:val="32"/>
          <w:szCs w:val="32"/>
          <w:highlight w:val="none"/>
        </w:rPr>
        <w:t>地面开采</w:t>
      </w:r>
      <w:r>
        <w:rPr>
          <w:rFonts w:ascii="仿宋_GB2312" w:hAnsi="楷体" w:eastAsia="仿宋_GB2312" w:cs="宋体"/>
          <w:color w:val="auto"/>
          <w:kern w:val="0"/>
          <w:sz w:val="32"/>
          <w:szCs w:val="32"/>
          <w:highlight w:val="none"/>
        </w:rPr>
        <w:t>）</w:t>
      </w:r>
      <w:r>
        <w:rPr>
          <w:rFonts w:hint="eastAsia" w:ascii="仿宋_GB2312" w:hAnsi="楷体" w:eastAsia="仿宋_GB2312" w:cs="宋体"/>
          <w:color w:val="auto"/>
          <w:kern w:val="0"/>
          <w:sz w:val="32"/>
          <w:szCs w:val="32"/>
          <w:highlight w:val="none"/>
        </w:rPr>
        <w:t>单列。</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color w:val="auto"/>
          <w:kern w:val="44"/>
          <w:sz w:val="32"/>
          <w:szCs w:val="32"/>
          <w:highlight w:val="none"/>
        </w:rPr>
        <w:t>第十条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非煤矿山开采企业依据当月开采的原矿产量，于月末提取企业安全生产费用。提取标准如下：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（一）金属矿山，其中露天矿山每吨5元，地下矿山每吨15元；</w:t>
      </w:r>
    </w:p>
    <w:p>
      <w:pPr>
        <w:keepNext w:val="0"/>
        <w:keepLines w:val="0"/>
        <w:pageBreakBefore w:val="0"/>
        <w:widowControl w:val="0"/>
        <w:kinsoku/>
        <w:wordWrap/>
        <w:overflowPunct/>
        <w:topLinePunct w:val="0"/>
        <w:bidi w:val="0"/>
        <w:spacing w:line="560" w:lineRule="exact"/>
        <w:ind w:firstLine="642" w:firstLineChars="200"/>
        <w:jc w:val="left"/>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（二）核工业矿山，每吨25元；</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（三）非金属矿山，其中露天矿山每吨3元，地下矿山每吨8元；</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（四）小型露天采石场，即年生产规模不超过50万吨的山坡型露天采石场，每吨2元。</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上款所称原矿产量，不含金属、非金属矿山尾矿库和废石场中用于综合利用的尾砂和低品位矿石。</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地质勘探单位按地质勘查项目或工程总费用的2%，在项目或工程实施期内逐月提取企业安全生产费用。</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本条是非煤矿山开采企业安全生产费用的提取标准。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经对全国非煤矿山重点地区的矿山进行抽样调查和研究测算，本次修订调整了非煤矿山开采企业安全生产费用提取标准，金属矿山地下矿山提取标准由每吨10元提至每吨15元，非金属矿山露天矿山提取标准由每吨2元提至每吨3元、地下矿山提取标准由每吨4元提至每吨8元，小型露天采石场提取标准由每吨1元提至每吨2元。</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依据《小型露天采石场安全管理与监督检查规定》第二条：“年生产规模不超过50万吨的山坡型露天采石作业单位（以下统称小型露天采石场）的安全生产及对其监督管理，适用本规定”。本次修订将原办法“小型露天采石场，即年采剥总量50万吨以下，且最大开采高度不超过50米”修订为“小型露天采石场，即年生产规模不超过50万吨的山坡型露天采石场”。</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其中，“低品位矿”是指按我国部、省级发布的相应矿种现行地质勘查规范相关规定，介于该矿床一般工业指标中边界品位和(最低)工业品位之间的矿产资源。低于边界品位可利用的矿产资源，属于超低品位矿。“尾砂”是指选矿厂在特定的经济技术条件下，将矿石磨细，选取有用成分后排放的废弃物。</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color w:val="auto"/>
          <w:kern w:val="44"/>
          <w:sz w:val="32"/>
          <w:szCs w:val="32"/>
          <w:highlight w:val="none"/>
        </w:rPr>
        <w:t>第十一条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尾矿库运行按当月入库尾矿量计提企业安全生产费用，其中三等及三等以上尾矿库每吨4元，四等及五等尾矿库每吨5元。</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尾矿库回采按当月回采尾矿量计提企业安全生产费用，其中三等及三等以上尾矿库每吨1元，四等及五等尾矿库每吨1.5元。</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本条是尾矿库安全生产费用的提取标准。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次修订将尾矿库开采细分为尾矿库运行、尾矿库回采两类规定提取标准。其中，运行三等及三等以上尾矿库提取标准为每吨4元，四等及五等尾矿库提取标准为每吨5元；三等及三等以上尾矿库回采提取标准为每吨1元，四等及五等尾矿库回采提取标准为每吨1.5元。</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基于应急管理部、国家发展改革委、工业和信息化部、财政部、自然资源部、生态环境部、水利部、中国气象局发布的《关于印发防范化解尾矿库安全风险工作方案的通知》（应急〔2020〕15号）有关要求，考虑到尾矿库闭库必须在1年内完成闭库治理并销号，周期较短，删除闭库尾矿库提取安全生产费用要求。</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第十二条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非煤矿山开采企业安全生产费用应当用于以下支出：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不含“三同时”要求初期投入的安全设施）和重大事故隐患治理支出，包括矿山综合防尘、防灭火、防治水、危险气体监测、通风系统、支护及防治边帮滑坡、防冒顶片帮设备、机电设备、供配电系统、运输（提升）系统和尾矿库等完善、改造和维护支出以及实施地压监测监控、露天矿边坡治理等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完善非煤矿山监测监控、人员位置监测、紧急避险、压风自救、供水施救和通信联络等安全避险设施设备支出，完善尾矿库全过程在线监测监控系统支出，应急救援技术装备、设施配置及维护保养支出，事故逃生和紧急避难设施设备的配置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（三）开展重大危险源检测、评估、监控支出，安全风险分级管控和事故隐患排查整改支出，机械化、智能化建设，安全生产信息化建设、运维和网络安全支出；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（四）安全生产检查、评估评价（不含新建、改建、扩建项目安全评价）、咨询、标准化建设支出；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（七）安全生产适用的新技术、新标准、新工艺、智能化、机器人等新装备的推广应用支出；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（九）尾矿库闭库、销库费用支出；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b/>
          <w:color w:val="auto"/>
          <w:sz w:val="32"/>
          <w:szCs w:val="32"/>
          <w:highlight w:val="none"/>
        </w:rPr>
      </w:pPr>
      <w:r>
        <w:rPr>
          <w:rFonts w:hint="eastAsia" w:ascii="仿宋_GB2312" w:hAnsi="仿宋" w:eastAsia="仿宋_GB2312" w:cs="宋体"/>
          <w:b/>
          <w:color w:val="auto"/>
          <w:kern w:val="0"/>
          <w:sz w:val="32"/>
          <w:szCs w:val="32"/>
          <w:highlight w:val="none"/>
        </w:rPr>
        <w:t>（十）地质勘探单位野外应急食品、应急器械、应急药品支出；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（十一）安全生产责任保险支出；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（十二）与安全生产直接相关的其他支出。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本条是非煤矿山开采企业安全生产费用的使用范围。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本条基于原办法第十八条修订</w:t>
      </w:r>
      <w:r>
        <w:rPr>
          <w:rFonts w:ascii="仿宋_GB2312" w:hAnsi="楷体" w:eastAsia="仿宋_GB2312" w:cs="宋体"/>
          <w:color w:val="auto"/>
          <w:kern w:val="0"/>
          <w:sz w:val="32"/>
          <w:szCs w:val="32"/>
          <w:highlight w:val="none"/>
        </w:rPr>
        <w:t>。</w:t>
      </w:r>
      <w:r>
        <w:rPr>
          <w:rFonts w:hint="eastAsia" w:ascii="仿宋_GB2312" w:hAnsi="楷体" w:eastAsia="仿宋_GB2312" w:cs="宋体"/>
          <w:color w:val="auto"/>
          <w:kern w:val="0"/>
          <w:sz w:val="32"/>
          <w:szCs w:val="32"/>
          <w:highlight w:val="none"/>
        </w:rPr>
        <w:t>由于非煤矿山矿种多、数量大、地质条件复杂，其事故类型也存在多样性，包括冒顶坍塌、中毒窒息、边坡垮塌、爆炸、透水、坠罐跑车、尾矿库溃坝、火灾等事故类型。特别是地下矿山中毒窒息和火灾事故、露天矿山边坡垮塌事故、尾矿库溃坝事故隐患易引发重大事故，成为当前非煤矿山安全生产的薄弱环节和防治重点。为遏制重大事故发生，非煤矿山安全生产费用主要用于重点灾害防治，</w:t>
      </w:r>
      <w:r>
        <w:rPr>
          <w:rFonts w:ascii="仿宋_GB2312" w:hAnsi="楷体" w:eastAsia="仿宋_GB2312" w:cs="宋体"/>
          <w:color w:val="auto"/>
          <w:kern w:val="0"/>
          <w:sz w:val="32"/>
          <w:szCs w:val="32"/>
          <w:highlight w:val="none"/>
        </w:rPr>
        <w:t>具体使用范围包括完善、改造和维护安全防护设施设备和重大</w:t>
      </w:r>
      <w:r>
        <w:rPr>
          <w:rFonts w:hint="eastAsia" w:ascii="仿宋_GB2312" w:hAnsi="楷体" w:eastAsia="仿宋_GB2312" w:cs="宋体"/>
          <w:color w:val="auto"/>
          <w:kern w:val="0"/>
          <w:sz w:val="32"/>
          <w:szCs w:val="32"/>
          <w:highlight w:val="none"/>
        </w:rPr>
        <w:t>事故</w:t>
      </w:r>
      <w:r>
        <w:rPr>
          <w:rFonts w:ascii="仿宋_GB2312" w:hAnsi="楷体" w:eastAsia="仿宋_GB2312" w:cs="宋体"/>
          <w:color w:val="auto"/>
          <w:kern w:val="0"/>
          <w:sz w:val="32"/>
          <w:szCs w:val="32"/>
          <w:highlight w:val="none"/>
        </w:rPr>
        <w:t>隐患治理，安全避险设施设备和应急救援技术装备配置</w:t>
      </w:r>
      <w:r>
        <w:rPr>
          <w:rFonts w:hint="eastAsia" w:ascii="仿宋_GB2312" w:hAnsi="楷体" w:eastAsia="仿宋_GB2312" w:cs="宋体"/>
          <w:color w:val="auto"/>
          <w:kern w:val="0"/>
          <w:sz w:val="32"/>
          <w:szCs w:val="32"/>
          <w:highlight w:val="none"/>
        </w:rPr>
        <w:t>以及</w:t>
      </w:r>
      <w:r>
        <w:rPr>
          <w:rFonts w:ascii="仿宋_GB2312" w:hAnsi="楷体" w:eastAsia="仿宋_GB2312" w:cs="宋体"/>
          <w:color w:val="auto"/>
          <w:kern w:val="0"/>
          <w:sz w:val="32"/>
          <w:szCs w:val="32"/>
          <w:highlight w:val="none"/>
        </w:rPr>
        <w:t>应急救援队伍建设</w:t>
      </w:r>
      <w:r>
        <w:rPr>
          <w:rFonts w:hint="eastAsia" w:ascii="仿宋_GB2312" w:hAnsi="楷体" w:eastAsia="仿宋_GB2312" w:cs="宋体"/>
          <w:color w:val="auto"/>
          <w:kern w:val="0"/>
          <w:sz w:val="32"/>
          <w:szCs w:val="32"/>
          <w:highlight w:val="none"/>
        </w:rPr>
        <w:t>，</w:t>
      </w:r>
      <w:r>
        <w:rPr>
          <w:rFonts w:ascii="仿宋_GB2312" w:hAnsi="楷体" w:eastAsia="仿宋_GB2312" w:cs="宋体"/>
          <w:color w:val="auto"/>
          <w:kern w:val="0"/>
          <w:sz w:val="32"/>
          <w:szCs w:val="32"/>
          <w:highlight w:val="none"/>
        </w:rPr>
        <w:t>安全风险分级管控</w:t>
      </w:r>
      <w:r>
        <w:rPr>
          <w:rFonts w:hint="eastAsia" w:ascii="仿宋_GB2312" w:hAnsi="楷体" w:eastAsia="仿宋_GB2312" w:cs="宋体"/>
          <w:color w:val="auto"/>
          <w:kern w:val="0"/>
          <w:sz w:val="32"/>
          <w:szCs w:val="32"/>
          <w:highlight w:val="none"/>
        </w:rPr>
        <w:t>和事故隐患排查整改、尾矿库监控等十二个方面。与原办法相比，除增加其他行业企业相同增加的支出内容外，补充增加防冒顶片帮设备以及尾矿库销库费用支出。</w:t>
      </w:r>
    </w:p>
    <w:p>
      <w:pPr>
        <w:keepNext w:val="0"/>
        <w:keepLines w:val="0"/>
        <w:pageBreakBefore w:val="0"/>
        <w:widowControl w:val="0"/>
        <w:kinsoku/>
        <w:wordWrap/>
        <w:overflowPunct/>
        <w:topLinePunct w:val="0"/>
        <w:bidi w:val="0"/>
        <w:spacing w:line="560" w:lineRule="exact"/>
        <w:ind w:firstLine="627" w:firstLineChars="196"/>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关于非煤矿山开采企业按照国家规定开展隐蔽致灾因素普查治理相关费用，其隐蔽致灾因素普查费用可列入“安全生产咨询”或“与安全生产直接相关的其他支出”，其灾害治理费用可根据本条第（一）款、第（三）款相关内容进行列支。</w:t>
      </w:r>
    </w:p>
    <w:p>
      <w:pPr>
        <w:keepNext w:val="0"/>
        <w:keepLines w:val="0"/>
        <w:pageBreakBefore w:val="0"/>
        <w:widowControl w:val="0"/>
        <w:kinsoku/>
        <w:wordWrap/>
        <w:overflowPunct/>
        <w:topLinePunct w:val="0"/>
        <w:bidi w:val="0"/>
        <w:spacing w:line="560" w:lineRule="exact"/>
        <w:jc w:val="center"/>
        <w:rPr>
          <w:rFonts w:ascii="仿宋" w:hAnsi="仿宋" w:eastAsia="仿宋"/>
          <w:color w:val="auto"/>
          <w:sz w:val="32"/>
          <w:szCs w:val="32"/>
          <w:highlight w:val="none"/>
        </w:rPr>
      </w:pPr>
      <w:r>
        <w:rPr>
          <w:rFonts w:hint="eastAsia" w:ascii="宋体" w:hAnsi="宋体" w:eastAsia="宋体"/>
          <w:b/>
          <w:color w:val="auto"/>
          <w:szCs w:val="21"/>
          <w:highlight w:val="none"/>
        </w:rPr>
        <w:t>非煤矿山开采</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831"/>
        <w:gridCol w:w="7343"/>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998"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2</w:t>
            </w:r>
            <w:r>
              <w:rPr>
                <w:rFonts w:ascii="宋体" w:hAnsi="宋体" w:eastAsia="宋体" w:cs="宋体"/>
                <w:color w:val="auto"/>
                <w:kern w:val="0"/>
                <w:szCs w:val="21"/>
                <w:highlight w:val="none"/>
              </w:rPr>
              <w:t>.</w:t>
            </w:r>
            <w:r>
              <w:rPr>
                <w:rFonts w:hint="eastAsia" w:ascii="宋体" w:hAnsi="宋体" w:eastAsia="宋体" w:cs="宋体"/>
                <w:color w:val="auto"/>
                <w:kern w:val="0"/>
                <w:szCs w:val="21"/>
                <w:highlight w:val="none"/>
              </w:rPr>
              <w:t>保障和完善生产设施设备正常运行的技改维修、技术服务等支出；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ascii="宋体" w:hAnsi="宋体" w:eastAsia="宋体" w:cs="宋体"/>
                <w:color w:val="auto"/>
                <w:kern w:val="0"/>
                <w:szCs w:val="21"/>
                <w:highlight w:val="none"/>
              </w:rPr>
              <w:t>3.</w:t>
            </w:r>
            <w:r>
              <w:rPr>
                <w:rFonts w:hint="eastAsia" w:ascii="宋体" w:hAnsi="宋体" w:eastAsia="宋体" w:cs="宋体"/>
                <w:color w:val="auto"/>
                <w:kern w:val="0"/>
                <w:szCs w:val="21"/>
                <w:highlight w:val="none"/>
              </w:rPr>
              <w:t>环保用防控粉尘等设施设备支出。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6"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64"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42"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3.视频监控设备安装后委托第三方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1.非</w:t>
            </w:r>
            <w:r>
              <w:rPr>
                <w:rFonts w:hint="eastAsia" w:ascii="宋体" w:hAnsi="宋体" w:eastAsia="宋体" w:cs="宋体"/>
                <w:color w:val="auto"/>
                <w:kern w:val="0"/>
                <w:szCs w:val="21"/>
                <w:highlight w:val="none"/>
              </w:rPr>
              <w:t>煤矿山新建、改建、扩建项目安全评价费用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w:t>
            </w:r>
            <w:r>
              <w:rPr>
                <w:rFonts w:hint="eastAsia" w:ascii="宋体" w:hAnsi="宋体" w:eastAsia="宋体" w:cs="宋体"/>
                <w:color w:val="auto"/>
                <w:kern w:val="0"/>
                <w:szCs w:val="21"/>
                <w:highlight w:val="none"/>
              </w:rPr>
              <w:t>普通工作服、洗护用品</w:t>
            </w:r>
            <w:r>
              <w:rPr>
                <w:rFonts w:hint="eastAsia" w:ascii="宋体" w:hAnsi="宋体" w:eastAsia="宋体"/>
                <w:color w:val="auto"/>
                <w:szCs w:val="21"/>
                <w:highlight w:val="none"/>
              </w:rPr>
              <w:t>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生产专用机械设备（如矿车</w:t>
            </w:r>
            <w:r>
              <w:rPr>
                <w:rFonts w:ascii="宋体" w:hAnsi="宋体" w:eastAsia="宋体"/>
                <w:color w:val="auto"/>
                <w:szCs w:val="21"/>
                <w:highlight w:val="none"/>
              </w:rPr>
              <w:t>、</w:t>
            </w:r>
            <w:r>
              <w:rPr>
                <w:rFonts w:hint="eastAsia" w:ascii="宋体" w:hAnsi="宋体" w:eastAsia="宋体"/>
                <w:color w:val="auto"/>
                <w:szCs w:val="21"/>
                <w:highlight w:val="none"/>
              </w:rPr>
              <w:t>凿岩机</w:t>
            </w:r>
            <w:r>
              <w:rPr>
                <w:rFonts w:ascii="宋体" w:hAnsi="宋体" w:eastAsia="宋体"/>
                <w:color w:val="auto"/>
                <w:szCs w:val="21"/>
                <w:highlight w:val="none"/>
              </w:rPr>
              <w:t>、掘进机、</w:t>
            </w:r>
            <w:r>
              <w:rPr>
                <w:rFonts w:hint="eastAsia" w:ascii="宋体" w:hAnsi="宋体" w:eastAsia="宋体"/>
                <w:color w:val="auto"/>
                <w:szCs w:val="21"/>
                <w:highlight w:val="none"/>
              </w:rPr>
              <w:t>挖掘机</w:t>
            </w:r>
            <w:r>
              <w:rPr>
                <w:rFonts w:ascii="宋体" w:hAnsi="宋体" w:eastAsia="宋体"/>
                <w:color w:val="auto"/>
                <w:szCs w:val="21"/>
                <w:highlight w:val="none"/>
              </w:rPr>
              <w:t>、</w:t>
            </w:r>
            <w:r>
              <w:rPr>
                <w:rFonts w:hint="eastAsia" w:ascii="宋体" w:hAnsi="宋体" w:eastAsia="宋体"/>
                <w:color w:val="auto"/>
                <w:szCs w:val="21"/>
                <w:highlight w:val="none"/>
              </w:rPr>
              <w:t>采矿</w:t>
            </w:r>
            <w:r>
              <w:rPr>
                <w:rFonts w:ascii="宋体" w:hAnsi="宋体" w:eastAsia="宋体"/>
                <w:color w:val="auto"/>
                <w:szCs w:val="21"/>
                <w:highlight w:val="none"/>
              </w:rPr>
              <w:t>台车</w:t>
            </w:r>
            <w:r>
              <w:rPr>
                <w:rFonts w:hint="eastAsia" w:ascii="宋体" w:hAnsi="宋体" w:eastAsia="宋体"/>
                <w:color w:val="auto"/>
                <w:szCs w:val="21"/>
                <w:highlight w:val="none"/>
              </w:rPr>
              <w:t>、</w:t>
            </w:r>
            <w:r>
              <w:rPr>
                <w:rFonts w:ascii="宋体" w:hAnsi="宋体" w:eastAsia="宋体"/>
                <w:color w:val="auto"/>
                <w:szCs w:val="21"/>
                <w:highlight w:val="none"/>
              </w:rPr>
              <w:t>钻机、</w:t>
            </w:r>
            <w:r>
              <w:rPr>
                <w:rFonts w:hint="eastAsia" w:ascii="宋体" w:hAnsi="宋体" w:eastAsia="宋体"/>
                <w:color w:val="auto"/>
                <w:szCs w:val="21"/>
                <w:highlight w:val="none"/>
              </w:rPr>
              <w:t>电机车</w:t>
            </w:r>
            <w:r>
              <w:rPr>
                <w:rFonts w:ascii="宋体" w:hAnsi="宋体" w:eastAsia="宋体"/>
                <w:color w:val="auto"/>
                <w:szCs w:val="21"/>
                <w:highlight w:val="none"/>
              </w:rPr>
              <w:t>等</w:t>
            </w:r>
            <w:r>
              <w:rPr>
                <w:rFonts w:hint="eastAsia" w:ascii="宋体" w:hAnsi="宋体" w:eastAsia="宋体"/>
                <w:color w:val="auto"/>
                <w:szCs w:val="21"/>
                <w:highlight w:val="none"/>
              </w:rPr>
              <w:t>）检测检验、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1.</w:t>
            </w:r>
            <w:r>
              <w:rPr>
                <w:rFonts w:hint="eastAsia" w:ascii="宋体" w:hAnsi="宋体" w:eastAsia="宋体"/>
                <w:color w:val="auto"/>
                <w:szCs w:val="21"/>
                <w:highlight w:val="none"/>
              </w:rPr>
              <w:t>专职或</w:t>
            </w:r>
            <w:r>
              <w:rPr>
                <w:rFonts w:ascii="宋体" w:hAnsi="宋体" w:eastAsia="宋体"/>
                <w:color w:val="auto"/>
                <w:szCs w:val="21"/>
                <w:highlight w:val="none"/>
              </w:rPr>
              <w:t>兼职安全管理人员</w:t>
            </w:r>
            <w:r>
              <w:rPr>
                <w:rFonts w:hint="eastAsia" w:ascii="宋体" w:hAnsi="宋体" w:eastAsia="宋体" w:cs="宋体"/>
                <w:color w:val="auto"/>
                <w:kern w:val="0"/>
                <w:szCs w:val="21"/>
                <w:highlight w:val="none"/>
              </w:rPr>
              <w:t>的薪酬、社保、岗位风险津贴，保安岗位人员</w:t>
            </w:r>
            <w:r>
              <w:rPr>
                <w:rFonts w:ascii="宋体" w:hAnsi="宋体" w:eastAsia="宋体" w:cs="宋体"/>
                <w:color w:val="auto"/>
                <w:kern w:val="0"/>
                <w:szCs w:val="21"/>
                <w:highlight w:val="none"/>
              </w:rPr>
              <w:t>工资；</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olor w:val="auto"/>
                <w:szCs w:val="21"/>
                <w:highlight w:val="none"/>
              </w:rPr>
              <w:t>2.从业人员发现并报告事故隐患奖励之外的安全生产考核奖励支出；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4.爆炸品库建设以及购买生产用爆破器材、爆炸品费用支出；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284" w:hRule="atLeast"/>
          <w:jc w:val="center"/>
        </w:trPr>
        <w:tc>
          <w:tcPr>
            <w:tcW w:w="998"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olor w:val="auto"/>
                <w:szCs w:val="21"/>
                <w:highlight w:val="none"/>
              </w:rPr>
            </w:pPr>
          </w:p>
        </w:tc>
        <w:tc>
          <w:tcPr>
            <w:tcW w:w="4002"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5.</w:t>
            </w:r>
            <w:r>
              <w:rPr>
                <w:rFonts w:hint="eastAsia" w:ascii="宋体" w:hAnsi="宋体" w:eastAsia="宋体" w:cs="宋体"/>
                <w:color w:val="auto"/>
                <w:kern w:val="0"/>
                <w:szCs w:val="21"/>
                <w:highlight w:val="none"/>
              </w:rPr>
              <w:t>列入非煤矿山企业维简费使用范围的项目支出、企业生产经营所产生的日常</w:t>
            </w:r>
            <w:r>
              <w:rPr>
                <w:rFonts w:ascii="宋体" w:hAnsi="宋体" w:eastAsia="宋体" w:cs="宋体"/>
                <w:color w:val="auto"/>
                <w:kern w:val="0"/>
                <w:szCs w:val="21"/>
                <w:highlight w:val="none"/>
              </w:rPr>
              <w:t>运营</w:t>
            </w:r>
            <w:r>
              <w:rPr>
                <w:rFonts w:hint="eastAsia" w:ascii="宋体" w:hAnsi="宋体" w:eastAsia="宋体" w:cs="宋体"/>
                <w:color w:val="auto"/>
                <w:kern w:val="0"/>
                <w:szCs w:val="21"/>
                <w:highlight w:val="none"/>
              </w:rPr>
              <w:t>费用等。</w:t>
            </w:r>
          </w:p>
        </w:tc>
      </w:tr>
    </w:tbl>
    <w:p>
      <w:pPr>
        <w:keepNext w:val="0"/>
        <w:keepLines w:val="0"/>
        <w:pageBreakBefore w:val="0"/>
        <w:widowControl w:val="0"/>
        <w:tabs>
          <w:tab w:val="left" w:pos="1418"/>
        </w:tabs>
        <w:kinsoku/>
        <w:wordWrap/>
        <w:overflowPunct/>
        <w:topLinePunct w:val="0"/>
        <w:bidi w:val="0"/>
        <w:spacing w:line="560" w:lineRule="exact"/>
        <w:ind w:firstLine="420" w:firstLineChars="200"/>
        <w:rPr>
          <w:rFonts w:ascii="楷体" w:hAnsi="楷体" w:eastAsia="楷体" w:cs="宋体"/>
          <w:color w:val="auto"/>
          <w:kern w:val="0"/>
          <w:szCs w:val="21"/>
          <w:highlight w:val="none"/>
        </w:rPr>
      </w:pPr>
      <w:r>
        <w:rPr>
          <w:rFonts w:hint="eastAsia" w:ascii="楷体" w:hAnsi="楷体" w:eastAsia="楷体" w:cs="宋体"/>
          <w:color w:val="auto"/>
          <w:kern w:val="0"/>
          <w:szCs w:val="21"/>
          <w:highlight w:val="none"/>
        </w:rPr>
        <w:t>注：以上清单支出范围不宜列入非煤矿山开采企业安全生产费用，需要按原有费用渠道列支和管理。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8" w:name="_Toc152145210"/>
      <w:bookmarkStart w:id="9" w:name="_Toc147996024"/>
      <w:r>
        <w:rPr>
          <w:rFonts w:hint="eastAsia" w:ascii="黑体" w:hAnsi="黑体" w:eastAsia="黑体"/>
          <w:b w:val="0"/>
          <w:color w:val="auto"/>
          <w:highlight w:val="none"/>
        </w:rPr>
        <w:t>第三节  石油天然气开采企业</w:t>
      </w:r>
      <w:bookmarkEnd w:id="8"/>
      <w:bookmarkEnd w:id="9"/>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color w:val="auto"/>
          <w:kern w:val="44"/>
          <w:sz w:val="32"/>
          <w:szCs w:val="32"/>
          <w:highlight w:val="none"/>
        </w:rPr>
        <w:t>第十三条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石油天然气（包括页岩油、页岩气）开采是指陆上采油（气）、海上采油（气）、钻井、物探、测井、录井、井下作业、油建、海油工程等活动。</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煤层气（地面开采）企业参照陆上采油（气）企业执行。</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本条是适用办法的石油天然气开采行业的属性内涵。</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基于石油天然气开采与其他非煤矿山开采的作业活动、安全生产投入方向以及安全监管的差异化，本次修订将石油天然气开采单列，按照石油天然气企业安全生产许可范围表述，对其行业属性内涵重新定义。鉴于煤层气（地面开采）开采技术工艺与常规天然气相似，规定煤层气（地面开采）企业参照陆上采油（气）企业执行。</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color w:val="auto"/>
          <w:kern w:val="44"/>
          <w:sz w:val="32"/>
          <w:szCs w:val="32"/>
          <w:highlight w:val="none"/>
        </w:rPr>
        <w:t>第十四条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陆上采油（气）、海上采油（气）企业依据当月开采的石油、天然气产量，于月末提取企业安全生产费用。其中每吨原油20元，每千立方米原气7.5元。</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钻井、物探、测井、录井、井下作业、油建、海油工程等企业按照项目或工程造价中的直接工程成本的2%逐月提取企业安全生产费用。工程发包单位应当在合同中单独约定并及时向工程承包单位支付企业安全生产费用。</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Style w:val="61"/>
          <w:rFonts w:hint="eastAsia" w:eastAsia="仿宋_GB2312"/>
          <w:b/>
          <w:bCs/>
          <w:color w:val="auto"/>
          <w:spacing w:val="0"/>
          <w:sz w:val="32"/>
          <w:szCs w:val="32"/>
          <w:lang w:val="en-US" w:eastAsia="zh-CN" w:bidi="ar"/>
        </w:rPr>
        <w:t>石油天然气开采企业的储备油、地下储气库参照危险品储存</w:t>
      </w:r>
      <w:r>
        <w:rPr>
          <w:rFonts w:hint="eastAsia" w:ascii="仿宋_GB2312" w:hAnsi="仿宋" w:eastAsia="仿宋_GB2312" w:cs="宋体"/>
          <w:b/>
          <w:color w:val="auto"/>
          <w:kern w:val="0"/>
          <w:sz w:val="32"/>
          <w:szCs w:val="32"/>
          <w:highlight w:val="none"/>
        </w:rPr>
        <w:t>企业执行。</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本条是石油天然气开采企业安全生产费用的提取标准。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根据石油天然气开采单位对原油和天然气开采安全生产投入测算，调整并细化石油天然气开采企业安全生产费用分类提取标准，石油开采企业提取标准由每吨原油17元提至每吨原油20元，天然气开采企业提取标准由每千立方米原气5元提至每千立方米原气7.5元。补充钻井、物探、测井、录井、井下作业、油建、海油工程等企业提取标准，基于实务中，钻井、物探、测井、录井、井下作业等油田工程技术服务企业与油田企业结算的工程总费用通常包含甲方单位提供的油套管、水泥、泥浆、陶粒、石英砂等材料费用，从工程计价角度，预算时甲供材必须进入综合单价，但工程结算时一般由甲方直接扣款，若不剔除甲供材而直接采用项目整体工程造价测算安全生产费用，将较按照实际工程建设造价计提的比例虚高，这部分费用不应作为安全生产费用的计提基数，因此，规定钻井、物探、测井、录井、井下作业、油建、海油工程等企业按照项目或工程造价中的直接工程成本的2%逐月提取安全生产费用。工程发包单位应当在合同中单独约定并及时向工程承包单位支付企业安全生产费用。鉴于石油天然气开采企业的储备油、地下储气库安全风险高，生产运行过程中存在油气泄漏、火灾爆炸等风险，增加石油天然气开采企业的储备油、地下储气库计提安全生产费用规定，由于其物品性质及储存方式与危险品储存相似，规定参照危险品储存企业执行。</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b/>
          <w:color w:val="auto"/>
          <w:sz w:val="32"/>
          <w:szCs w:val="32"/>
          <w:highlight w:val="none"/>
        </w:rPr>
      </w:pPr>
      <w:r>
        <w:rPr>
          <w:rFonts w:hint="eastAsia" w:ascii="黑体" w:hAnsi="黑体" w:eastAsia="黑体"/>
          <w:bCs/>
          <w:color w:val="auto"/>
          <w:kern w:val="44"/>
          <w:sz w:val="32"/>
          <w:szCs w:val="32"/>
          <w:highlight w:val="none"/>
        </w:rPr>
        <w:t>第十五条</w:t>
      </w:r>
      <w:r>
        <w:rPr>
          <w:rFonts w:hint="eastAsia" w:ascii="仿宋_GB2312" w:hAnsi="仿宋" w:eastAsia="仿宋_GB2312" w:cs="宋体"/>
          <w:bCs/>
          <w:color w:val="auto"/>
          <w:sz w:val="32"/>
          <w:szCs w:val="32"/>
          <w:highlight w:val="none"/>
        </w:rPr>
        <w:t xml:space="preserve"> </w:t>
      </w:r>
      <w:r>
        <w:rPr>
          <w:rFonts w:hint="eastAsia" w:ascii="仿宋_GB2312" w:hAnsi="仿宋" w:eastAsia="仿宋_GB2312"/>
          <w:b/>
          <w:color w:val="auto"/>
          <w:sz w:val="32"/>
          <w:szCs w:val="32"/>
          <w:highlight w:val="none"/>
        </w:rPr>
        <w:t>石油天然气开采企业安全生产费用应当用于以下支出：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一）完善、改造和维护安全防护设施设备支出（不含“三同时”要求初期投入的安全设施），包括油气井（场）、管道、站场、海洋石油生产设施、作业设施等设施设备的监测、监控、防井喷、防灭火、防坍塌、防爆炸、防泄漏、防腐蚀、防颠覆、防漂移、防雷、防静电、防台风、防中毒、防坠落等设施设备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（二）事故逃生和紧急避难设施设备的配置及维护保养支出，应急救援器材、设备配置及维护保养支出，应急救援队伍建设、应急预案制</w:t>
      </w:r>
      <w:r>
        <w:rPr>
          <w:rFonts w:hint="eastAsia" w:ascii="仿宋_GB2312" w:hAnsi="仿宋" w:eastAsia="仿宋_GB2312" w:cs="宋体"/>
          <w:b/>
          <w:color w:val="auto"/>
          <w:kern w:val="0"/>
          <w:sz w:val="32"/>
          <w:szCs w:val="32"/>
          <w:highlight w:val="none"/>
        </w:rPr>
        <w:t>修</w:t>
      </w:r>
      <w:r>
        <w:rPr>
          <w:rFonts w:hint="eastAsia" w:ascii="仿宋_GB2312" w:hAnsi="仿宋" w:eastAsia="仿宋_GB2312"/>
          <w:b/>
          <w:color w:val="auto"/>
          <w:kern w:val="0"/>
          <w:sz w:val="32"/>
          <w:szCs w:val="32"/>
          <w:highlight w:val="none"/>
        </w:rPr>
        <w:t>订与应急演练支出；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（三）开展重大危险源检测、评估、监控支出，安全风险分级管控和事故隐患排查整改支出，</w:t>
      </w:r>
      <w:r>
        <w:rPr>
          <w:rFonts w:hint="eastAsia" w:ascii="仿宋_GB2312" w:hAnsi="仿宋" w:eastAsia="仿宋_GB2312" w:cs="宋体"/>
          <w:b/>
          <w:color w:val="auto"/>
          <w:kern w:val="0"/>
          <w:sz w:val="32"/>
          <w:szCs w:val="32"/>
          <w:highlight w:val="none"/>
        </w:rPr>
        <w:t>安全生产信息化、智能化建设、运维和网络安全支出</w:t>
      </w:r>
      <w:r>
        <w:rPr>
          <w:rFonts w:hint="eastAsia" w:ascii="仿宋_GB2312" w:hAnsi="仿宋" w:eastAsia="仿宋_GB2312"/>
          <w:b/>
          <w:color w:val="auto"/>
          <w:kern w:val="0"/>
          <w:sz w:val="32"/>
          <w:szCs w:val="32"/>
          <w:highlight w:val="none"/>
        </w:rPr>
        <w:t>；</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（四）安全生产检查、</w:t>
      </w:r>
      <w:r>
        <w:rPr>
          <w:rFonts w:hint="eastAsia" w:ascii="仿宋_GB2312" w:hAnsi="仿宋" w:eastAsia="仿宋_GB2312" w:cs="宋体"/>
          <w:b/>
          <w:color w:val="auto"/>
          <w:kern w:val="0"/>
          <w:sz w:val="32"/>
          <w:szCs w:val="32"/>
          <w:highlight w:val="none"/>
        </w:rPr>
        <w:t>评估</w:t>
      </w:r>
      <w:r>
        <w:rPr>
          <w:rFonts w:hint="eastAsia" w:ascii="仿宋_GB2312" w:hAnsi="仿宋" w:eastAsia="仿宋_GB2312"/>
          <w:b/>
          <w:color w:val="auto"/>
          <w:kern w:val="0"/>
          <w:sz w:val="32"/>
          <w:szCs w:val="32"/>
          <w:highlight w:val="none"/>
        </w:rPr>
        <w:t>评价（不含新建、改建、扩建项目安全评价）、咨询、标准化建设支出；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（五）配备和更新现场作业人员安全防护用品支出；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（七）安全生产适用的新技术、新标准、新工艺、新装备的推广应用支出；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（八）安全设施及特种设备检测检验、</w:t>
      </w:r>
      <w:r>
        <w:rPr>
          <w:rFonts w:hint="eastAsia" w:ascii="仿宋_GB2312" w:hAnsi="仿宋" w:eastAsia="仿宋_GB2312" w:cs="宋体"/>
          <w:b/>
          <w:color w:val="auto"/>
          <w:kern w:val="0"/>
          <w:sz w:val="32"/>
          <w:szCs w:val="32"/>
          <w:highlight w:val="none"/>
        </w:rPr>
        <w:t>检定校准</w:t>
      </w:r>
      <w:r>
        <w:rPr>
          <w:rFonts w:hint="eastAsia" w:ascii="仿宋_GB2312" w:hAnsi="仿宋" w:eastAsia="仿宋_GB2312"/>
          <w:b/>
          <w:color w:val="auto"/>
          <w:kern w:val="0"/>
          <w:sz w:val="32"/>
          <w:szCs w:val="32"/>
          <w:highlight w:val="none"/>
        </w:rPr>
        <w:t>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（九）野外或海上作业应急食品、应急器械、应急药品支出；</w:t>
      </w:r>
    </w:p>
    <w:p>
      <w:pPr>
        <w:keepNext w:val="0"/>
        <w:keepLines w:val="0"/>
        <w:pageBreakBefore w:val="0"/>
        <w:widowControl w:val="0"/>
        <w:kinsoku/>
        <w:wordWrap/>
        <w:overflowPunct/>
        <w:topLinePunct w:val="0"/>
        <w:bidi w:val="0"/>
        <w:snapToGrid w:val="0"/>
        <w:spacing w:line="560" w:lineRule="exact"/>
        <w:ind w:firstLine="642" w:firstLineChars="200"/>
        <w:rPr>
          <w:rFonts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（十）安全生产责任保险支出；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b/>
          <w:color w:val="auto"/>
          <w:kern w:val="0"/>
          <w:sz w:val="32"/>
          <w:szCs w:val="32"/>
          <w:highlight w:val="none"/>
        </w:rPr>
      </w:pPr>
      <w:r>
        <w:rPr>
          <w:rFonts w:hint="eastAsia" w:ascii="仿宋_GB2312" w:hAnsi="仿宋" w:eastAsia="仿宋_GB2312"/>
          <w:b/>
          <w:color w:val="auto"/>
          <w:kern w:val="0"/>
          <w:sz w:val="32"/>
          <w:szCs w:val="32"/>
          <w:highlight w:val="none"/>
        </w:rPr>
        <w:t>（十一）与安全生产直接相关的其他支出。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hint="eastAsia"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Fonts w:hint="eastAsia" w:ascii="仿宋" w:hAnsi="仿宋" w:eastAsia="仿宋_GB2312"/>
          <w:color w:val="auto"/>
          <w:sz w:val="32"/>
          <w:szCs w:val="32"/>
          <w:highlight w:val="none"/>
        </w:rPr>
      </w:pPr>
      <w:r>
        <w:rPr>
          <w:rFonts w:hint="eastAsia" w:ascii="仿宋" w:hAnsi="仿宋" w:eastAsia="仿宋_GB2312"/>
          <w:color w:val="auto"/>
          <w:sz w:val="32"/>
          <w:szCs w:val="32"/>
          <w:highlight w:val="none"/>
        </w:rPr>
        <w:t>本条是石油天然气开采企业安全生产费用的使用范围。</w:t>
      </w:r>
    </w:p>
    <w:p>
      <w:pPr>
        <w:keepNext w:val="0"/>
        <w:keepLines w:val="0"/>
        <w:pageBreakBefore w:val="0"/>
        <w:widowControl w:val="0"/>
        <w:kinsoku/>
        <w:wordWrap/>
        <w:overflowPunct/>
        <w:topLinePunct w:val="0"/>
        <w:bidi w:val="0"/>
        <w:spacing w:line="560" w:lineRule="exact"/>
        <w:ind w:firstLine="640" w:firstLineChars="200"/>
        <w:rPr>
          <w:rFonts w:hint="eastAsia" w:ascii="仿宋" w:hAnsi="仿宋" w:eastAsia="仿宋_GB2312"/>
          <w:color w:val="auto"/>
          <w:sz w:val="32"/>
          <w:szCs w:val="32"/>
          <w:highlight w:val="none"/>
        </w:rPr>
      </w:pPr>
      <w:r>
        <w:rPr>
          <w:rFonts w:hint="eastAsia" w:ascii="仿宋" w:hAnsi="仿宋" w:eastAsia="仿宋_GB2312"/>
          <w:color w:val="auto"/>
          <w:sz w:val="32"/>
          <w:szCs w:val="32"/>
          <w:highlight w:val="none"/>
        </w:rPr>
        <w:t>石油天然气开采过程中容易发生井喷、火灾、爆炸、中毒等事故，另外考虑到钻井平台、钻井船等海洋石油作业设施一旦失稳将会导致倾覆或设施失控漂移，容易导致群死群伤及重大经济损失；油建、海油工程包含大量现场施工作业，存在高处坠落、坍塌等事故风险。根据石油天然气开采过程中重点部位、关键环节的风险特点和各种类型事故预防措施，本次修订中进一步明确了完善、改造和维护安全防护设施设备支出内容，具体包括油气井（场）、管道、站场、海洋石油生产设施、作业设施等设施设备的监测、监控、防井喷、防灭火、防坍塌、防爆炸、防泄漏、防腐蚀、防颠覆、防漂移、防雷、防静电、防台风、防中毒、防坠落等设施设备支出。新增野外或海上作业应急食品、应急器械、应急药品支出内容，以及其他行业共性增加的支出内容。</w:t>
      </w:r>
    </w:p>
    <w:p>
      <w:pPr>
        <w:keepNext w:val="0"/>
        <w:keepLines w:val="0"/>
        <w:pageBreakBefore w:val="0"/>
        <w:widowControl w:val="0"/>
        <w:kinsoku/>
        <w:wordWrap/>
        <w:overflowPunct/>
        <w:topLinePunct w:val="0"/>
        <w:bidi w:val="0"/>
        <w:spacing w:line="560" w:lineRule="exact"/>
        <w:ind w:firstLine="421" w:firstLineChars="200"/>
        <w:jc w:val="center"/>
        <w:rPr>
          <w:rFonts w:ascii="宋体" w:hAnsi="宋体" w:eastAsia="宋体" w:cstheme="minorBidi"/>
          <w:b/>
          <w:color w:val="auto"/>
          <w:kern w:val="2"/>
          <w:sz w:val="21"/>
          <w:szCs w:val="21"/>
          <w:highlight w:val="none"/>
        </w:rPr>
      </w:pPr>
      <w:r>
        <w:rPr>
          <w:rFonts w:hint="eastAsia" w:ascii="宋体" w:hAnsi="宋体" w:eastAsia="宋体" w:cstheme="minorBidi"/>
          <w:b/>
          <w:color w:val="auto"/>
          <w:kern w:val="2"/>
          <w:sz w:val="21"/>
          <w:szCs w:val="21"/>
          <w:highlight w:val="none"/>
        </w:rPr>
        <w:t>石油天然气开采</w:t>
      </w:r>
      <w:r>
        <w:rPr>
          <w:rFonts w:ascii="宋体" w:hAnsi="宋体" w:eastAsia="宋体" w:cstheme="minorBidi"/>
          <w:b/>
          <w:color w:val="auto"/>
          <w:kern w:val="2"/>
          <w:sz w:val="21"/>
          <w:szCs w:val="21"/>
          <w:highlight w:val="none"/>
        </w:rPr>
        <w:t>企业安全生产费用</w:t>
      </w:r>
      <w:r>
        <w:rPr>
          <w:rFonts w:hint="eastAsia" w:ascii="宋体" w:hAnsi="宋体" w:eastAsia="宋体" w:cstheme="minorBidi"/>
          <w:b/>
          <w:color w:val="auto"/>
          <w:kern w:val="2"/>
          <w:sz w:val="21"/>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w:t>
            </w:r>
            <w:r>
              <w:rPr>
                <w:rFonts w:hint="eastAsia" w:ascii="宋体" w:hAnsi="宋体" w:eastAsia="宋体" w:cs="宋体"/>
                <w:color w:val="auto"/>
                <w:kern w:val="0"/>
                <w:szCs w:val="21"/>
                <w:highlight w:val="none"/>
              </w:rPr>
              <w:t>环保用防控粉尘等设施设备支出；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olor w:val="auto"/>
                <w:szCs w:val="21"/>
                <w:highlight w:val="none"/>
              </w:rPr>
              <w:t>3.</w:t>
            </w:r>
            <w:r>
              <w:rPr>
                <w:rFonts w:hint="eastAsia" w:ascii="宋体" w:hAnsi="宋体" w:eastAsia="宋体" w:cs="宋体"/>
                <w:color w:val="auto"/>
                <w:kern w:val="0"/>
                <w:szCs w:val="21"/>
                <w:highlight w:val="none"/>
              </w:rPr>
              <w:t>石油天然气开采生产设施设备、工艺装置、建(构)筑物、施工作业装备等设施设备</w:t>
            </w:r>
            <w:r>
              <w:rPr>
                <w:rFonts w:hint="eastAsia" w:ascii="宋体" w:hAnsi="宋体" w:eastAsia="宋体"/>
                <w:color w:val="auto"/>
                <w:szCs w:val="21"/>
                <w:highlight w:val="none"/>
              </w:rPr>
              <w:t>正常运行的技改维修、技术服务等支出</w:t>
            </w:r>
            <w:r>
              <w:rPr>
                <w:rFonts w:hint="eastAsia" w:ascii="宋体" w:hAnsi="宋体" w:eastAsia="宋体" w:cs="宋体"/>
                <w:color w:val="auto"/>
                <w:kern w:val="0"/>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2.安保防恐支出、外援救护服务支出（如应急救援协议年费、外协医疗急救服务年费）以及征调参与应急抢险救援单位发生的消耗、运输等支出；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50"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50"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50"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、标准化建设支出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体系审核（如</w:t>
            </w:r>
            <w:r>
              <w:rPr>
                <w:rFonts w:ascii="宋体" w:hAnsi="宋体" w:eastAsia="宋体"/>
                <w:bCs/>
                <w:color w:val="auto"/>
                <w:szCs w:val="21"/>
                <w:highlight w:val="none"/>
              </w:rPr>
              <w:t>ISO9001、ISO14001、ISO45001</w:t>
            </w:r>
            <w:r>
              <w:rPr>
                <w:rFonts w:hint="eastAsia" w:ascii="宋体" w:hAnsi="宋体" w:eastAsia="宋体"/>
                <w:color w:val="auto"/>
                <w:szCs w:val="21"/>
                <w:highlight w:val="none"/>
              </w:rPr>
              <w:t>）、报告审核、专家工时费用等服务支出。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w:t>
            </w:r>
            <w:r>
              <w:rPr>
                <w:rFonts w:ascii="宋体" w:hAnsi="宋体" w:eastAsia="宋体"/>
                <w:color w:val="auto"/>
                <w:szCs w:val="21"/>
                <w:highlight w:val="none"/>
              </w:rPr>
              <w:t>非安全生产</w:t>
            </w:r>
            <w:r>
              <w:rPr>
                <w:rFonts w:hint="eastAsia" w:ascii="宋体" w:hAnsi="宋体" w:eastAsia="宋体"/>
                <w:color w:val="auto"/>
                <w:szCs w:val="21"/>
                <w:highlight w:val="none"/>
              </w:rPr>
              <w:t>相关岗前培训费、考试费、办证费等费用。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生产专用机械设备（如</w:t>
            </w:r>
            <w:r>
              <w:rPr>
                <w:rFonts w:ascii="宋体" w:hAnsi="宋体" w:eastAsia="宋体"/>
                <w:color w:val="auto"/>
                <w:szCs w:val="21"/>
                <w:highlight w:val="none"/>
              </w:rPr>
              <w:t>测井设备、钻井设备、采油采气设备、井下作业设备</w:t>
            </w:r>
            <w:r>
              <w:rPr>
                <w:rFonts w:hint="eastAsia" w:ascii="宋体" w:hAnsi="宋体" w:eastAsia="宋体"/>
                <w:color w:val="auto"/>
                <w:szCs w:val="21"/>
                <w:highlight w:val="none"/>
              </w:rPr>
              <w:t>、</w:t>
            </w:r>
            <w:r>
              <w:rPr>
                <w:rFonts w:ascii="宋体" w:hAnsi="宋体" w:eastAsia="宋体"/>
                <w:color w:val="auto"/>
                <w:szCs w:val="21"/>
                <w:highlight w:val="none"/>
              </w:rPr>
              <w:t>油气集输设备、海洋钻采平台设备等及相关的配件和工具等</w:t>
            </w:r>
            <w:r>
              <w:rPr>
                <w:rFonts w:hint="eastAsia" w:ascii="宋体" w:hAnsi="宋体" w:eastAsia="宋体"/>
                <w:color w:val="auto"/>
                <w:szCs w:val="21"/>
                <w:highlight w:val="none"/>
              </w:rPr>
              <w:t>）检测检验、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w:t>
            </w:r>
            <w:r>
              <w:rPr>
                <w:rFonts w:hint="eastAsia" w:ascii="宋体" w:hAnsi="宋体" w:eastAsia="宋体" w:cs="宋体"/>
                <w:color w:val="auto"/>
                <w:kern w:val="0"/>
                <w:szCs w:val="21"/>
                <w:highlight w:val="none"/>
              </w:rPr>
              <w:t>的薪酬、社保、岗位风险津贴</w:t>
            </w:r>
            <w:r>
              <w:rPr>
                <w:rFonts w:hint="eastAsia" w:ascii="宋体" w:hAnsi="宋体" w:eastAsia="宋体"/>
                <w:color w:val="auto"/>
                <w:szCs w:val="21"/>
                <w:highlight w:val="none"/>
              </w:rPr>
              <w:t>，</w:t>
            </w:r>
            <w:r>
              <w:rPr>
                <w:rFonts w:hint="eastAsia" w:ascii="宋体" w:hAnsi="宋体" w:eastAsia="宋体" w:cs="宋体"/>
                <w:color w:val="auto"/>
                <w:kern w:val="0"/>
                <w:szCs w:val="21"/>
                <w:highlight w:val="none"/>
              </w:rPr>
              <w:t>保安岗位人员</w:t>
            </w:r>
            <w:r>
              <w:rPr>
                <w:rFonts w:ascii="宋体" w:hAnsi="宋体" w:eastAsia="宋体" w:cs="宋体"/>
                <w:color w:val="auto"/>
                <w:kern w:val="0"/>
                <w:szCs w:val="21"/>
                <w:highlight w:val="none"/>
              </w:rPr>
              <w:t>工资；</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3.职业病危害因素检测、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keepNext w:val="0"/>
        <w:keepLines w:val="0"/>
        <w:pageBreakBefore w:val="0"/>
        <w:widowControl w:val="0"/>
        <w:tabs>
          <w:tab w:val="left" w:pos="1418"/>
        </w:tabs>
        <w:kinsoku/>
        <w:wordWrap/>
        <w:overflowPunct/>
        <w:topLinePunct w:val="0"/>
        <w:bidi w:val="0"/>
        <w:spacing w:line="560" w:lineRule="exact"/>
        <w:ind w:firstLine="420" w:firstLineChars="200"/>
        <w:rPr>
          <w:rFonts w:ascii="楷体" w:hAnsi="楷体" w:eastAsia="楷体" w:cs="宋体"/>
          <w:color w:val="auto"/>
          <w:kern w:val="0"/>
          <w:szCs w:val="21"/>
          <w:highlight w:val="none"/>
        </w:rPr>
      </w:pPr>
      <w:r>
        <w:rPr>
          <w:rFonts w:hint="eastAsia" w:ascii="楷体" w:hAnsi="楷体" w:eastAsia="楷体" w:cs="宋体"/>
          <w:color w:val="auto"/>
          <w:kern w:val="0"/>
          <w:szCs w:val="21"/>
          <w:highlight w:val="none"/>
        </w:rPr>
        <w:t>注</w:t>
      </w:r>
      <w:r>
        <w:rPr>
          <w:rFonts w:ascii="楷体" w:hAnsi="楷体" w:eastAsia="楷体" w:cs="宋体"/>
          <w:color w:val="auto"/>
          <w:kern w:val="0"/>
          <w:szCs w:val="21"/>
          <w:highlight w:val="none"/>
        </w:rPr>
        <w:t>：</w:t>
      </w:r>
      <w:r>
        <w:rPr>
          <w:rFonts w:hint="eastAsia" w:ascii="楷体" w:hAnsi="楷体" w:eastAsia="楷体" w:cs="宋体"/>
          <w:color w:val="auto"/>
          <w:kern w:val="0"/>
          <w:szCs w:val="21"/>
          <w:highlight w:val="none"/>
        </w:rPr>
        <w:t>以上清单支出范围不宜列入石油</w:t>
      </w:r>
      <w:r>
        <w:rPr>
          <w:rFonts w:ascii="楷体" w:hAnsi="楷体" w:eastAsia="楷体" w:cs="宋体"/>
          <w:color w:val="auto"/>
          <w:kern w:val="0"/>
          <w:szCs w:val="21"/>
          <w:highlight w:val="none"/>
        </w:rPr>
        <w:t>天然气开采企业</w:t>
      </w:r>
      <w:r>
        <w:rPr>
          <w:rFonts w:hint="eastAsia" w:ascii="楷体" w:hAnsi="楷体" w:eastAsia="楷体" w:cs="宋体"/>
          <w:color w:val="auto"/>
          <w:kern w:val="0"/>
          <w:szCs w:val="21"/>
          <w:highlight w:val="none"/>
        </w:rPr>
        <w:t>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10" w:name="_Toc152145211"/>
      <w:bookmarkStart w:id="11" w:name="_Toc147996025"/>
      <w:bookmarkStart w:id="12" w:name="_Hlk145317539"/>
      <w:r>
        <w:rPr>
          <w:rFonts w:hint="eastAsia" w:ascii="黑体" w:hAnsi="黑体" w:eastAsia="黑体"/>
          <w:b w:val="0"/>
          <w:color w:val="auto"/>
          <w:highlight w:val="none"/>
        </w:rPr>
        <w:t>第四节  建设工程施工企业</w:t>
      </w:r>
      <w:bookmarkEnd w:id="10"/>
      <w:bookmarkEnd w:id="11"/>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第十六条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建设工程是指土木工程、建筑工程、线路管道和设备安装及装修工程，包括新建、扩建、改建。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井巷工程、矿山建设参照建设工程执行。</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本条是适用办法的建设工程施工行业的属性内涵。</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 xml:space="preserve">依据《建设工程安全生产管理条例》第二条第二款：建设工程是指土木工程、建筑工程、线路管道和设备安装工程及装修工程，与条例保持一致，本次修订进一步完善了建设工程的概念。 </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第十七条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建设工程施工企业以建筑安装工程造价为依据，于月末按工程进度</w:t>
      </w:r>
      <w:bookmarkStart w:id="13" w:name="_Hlk154127910"/>
      <w:r>
        <w:rPr>
          <w:rStyle w:val="61"/>
          <w:rFonts w:hint="eastAsia" w:eastAsia="仿宋_GB2312"/>
          <w:b/>
          <w:bCs/>
          <w:color w:val="auto"/>
          <w:spacing w:val="0"/>
          <w:sz w:val="32"/>
          <w:szCs w:val="32"/>
          <w:lang w:val="en-US" w:eastAsia="zh-CN" w:bidi="ar"/>
        </w:rPr>
        <w:t>计算</w:t>
      </w:r>
      <w:bookmarkEnd w:id="13"/>
      <w:r>
        <w:rPr>
          <w:rStyle w:val="61"/>
          <w:rFonts w:hint="eastAsia" w:eastAsia="仿宋_GB2312"/>
          <w:b/>
          <w:bCs/>
          <w:color w:val="auto"/>
          <w:spacing w:val="0"/>
          <w:sz w:val="32"/>
          <w:szCs w:val="32"/>
          <w:lang w:val="en-US" w:eastAsia="zh-CN" w:bidi="ar"/>
        </w:rPr>
        <w:t>提取企业安全生产费用。提取标准如下：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（一）矿山工程3.5%；</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（二）铁路工程、房屋建筑工程、城市轨道交通工程3%；</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（三）水利水电工程、电力工程2.5%；</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（四）冶炼工程、机电安装工程、化工石油工程、通信工程2%；</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（五）市政公用工程、港口与航道工程、公路工程1.5%。</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建设工程施工企业编制投标报价应当包含并单列企业安全生产费用，竞标时不得删减。国家对基本建设投资概算另有规定的，从其规定。</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bCs/>
          <w:color w:val="auto"/>
          <w:sz w:val="32"/>
          <w:szCs w:val="32"/>
          <w:highlight w:val="none"/>
        </w:rPr>
      </w:pPr>
      <w:r>
        <w:rPr>
          <w:rFonts w:hint="eastAsia" w:ascii="仿宋_GB2312" w:hAnsi="仿宋" w:eastAsia="仿宋_GB2312"/>
          <w:b/>
          <w:color w:val="auto"/>
          <w:sz w:val="32"/>
          <w:szCs w:val="32"/>
          <w:highlight w:val="none"/>
        </w:rPr>
        <w:t>本办法实施前建设工程项目已经完成招投标并签订合同的，企业安全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b/>
          <w:color w:val="auto"/>
          <w:sz w:val="32"/>
          <w:szCs w:val="32"/>
          <w:highlight w:val="none"/>
        </w:rPr>
        <w:t>费用按照原规定提取标准执行。</w:t>
      </w:r>
      <w:r>
        <w:rPr>
          <w:rFonts w:hint="eastAsia" w:ascii="仿宋_GB2312" w:hAnsi="仿宋" w:eastAsia="仿宋_GB2312"/>
          <w:bCs/>
          <w:color w:val="auto"/>
          <w:sz w:val="32"/>
          <w:szCs w:val="32"/>
          <w:highlight w:val="none"/>
        </w:rPr>
        <w:t xml:space="preserve"> </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本条是建设工程施工企业安全生产费用的提取依据与标准。</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次修订了建设工程施工企业安全生产费用的计提依据与标准，增加了“于月末按工程进度计算提取”规定，明确了提取频次为按月计提，在项目或工程实施期过程中结合工程进度于月末提取。提高了矿山工程安全生产费用计提标准，由原2.5%上调到3.5%；铁路工程、城市轨道交通工程、房屋建筑工程在原标准基础分别上调1.0%；水利水电工程、电力工程、冶炼工程、机电安装工程、化工石油工程、通信工程提取标准均在原标准基础上调0.5%。标准的调整主要考虑到各地反映矿山建设工程、铁路轨道建设工程、房屋建筑工程的作业环境复杂、安全风险较高，且近几年生产安全事故多发频发，亟需加强安全生产投入，提升施工现场安全生产管理水平，对防范遏制生产安全事故意义重大。</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建设工程施工企业以建筑安装工程造价为依据，具体财务处理中，建筑安装工程造价一般指中标价或合同额。</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此外，多数企业反映因受建设管理程序制约，建设施工企业提取安全生产费用“列入标外管理”无法得到落实，低价竞标和变相挤占安全生产费用现象依然存在。安全生产费用应属于招标文件的一部分，很多建设单位招标发包时，在招标文件中规定将安全生产费用包含在报价中，这样势必会导致费用落空。为此办法修订为“建设工程施工企业编制投标报价应当包含并单列企业安全生产费用，竞标时不得删减”。</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对于新办法实施前已完成招投标并签订合同的建设工程，办法明确按照原规定提取标准执行，即：老项目老办法，新项目新办法。上述合同原则上指正式合同，合同或协议中至少对总价、单价、计价方式、工作范围、权利义务等某一或某些应当约定的事项作出明确约定。</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第十八条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建设单位应当在合同中单独约定并于工程开工日一个月内向承包单位支付至少50%企业安全生产费用。</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总包单位应当在合同中单独约定并于分包工程开工日一个月内将至少50%企业安全生产费用直接支付分包单位并监督使用，分包单位不再重复提取。</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工程竣工决算后结余的企业安全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费用，应当退回建设单位。</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本条明确了建设单位和总包单位支付安全生产费用的时间和金额。</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建设工程初期安全生产投入明显高于施工过程中，但企业普遍反映，施工过程中建设单位的资金审核和支付明显滞后于工程进度，不利于项目安全生产投入，应对发包单位安全生产费用的及时履约、按时支付等方面进行规定，以保障项目前期安全生产投入资金。为此，办法明确：建设单位、总包单位应当在合同中单独约定，并于工程（分包工程）开工日一个月内向承包（分包）单位支付至少合同总安全生产费用的50%。该项费用应以预付款的形式向承包（分包）单位支付，随工程进度按实际发生额度进行抵扣。对于建设周期长资金投入量大的跨年度项目，允许按照年度预算安全生产费用的至少50%予以拨付。</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由于建设工程施工的特殊性，安全生产费用前期投入大，后期投入相对较小，可能存在按合同履约完毕后安全生产费用仍有结余的情形。鉴于建设工程项目安全生产费用源于项目建设单位的工程建设资金，同时确保工程承包单位足额支出安全生产费用，办法规定结余的安全生产费用工程结束后应当按照原路径退回建设单位。</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第十九条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建设工程施工企业安全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支出（不含“三同时”要求初期投入的安全设施），包括施工现场临时用电系统、洞口或临边防护、高处作业或交叉作业防护、临时安全防护、支护及防治边坡滑坡、工程有害气体监测和通风、保障安全的机械设备、防火、防爆、防触电、防尘、防毒、防雷、防台风、防地质灾害等设施设备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（二）应急救援技术装备、设施配置及维护保养支出，事故逃生和紧急避难设施设备的配置和应急救援队伍建设、应急预案制修订与应急演练支出；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（三）开展施工现场重大危险源检测、评估、监控支出，安全风险分级管控和事故隐患排查整改支出，工程项目安全生产信息化建设、运维和网络安全支出；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（五）配备和更新现场作业人员安全防护用品支出；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（七）安全生产适用的新技术、新标准、新工艺、新装备的推广应用支出；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（九）安全生产责任保险支出；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sz w:val="32"/>
          <w:szCs w:val="32"/>
          <w:highlight w:val="none"/>
        </w:rPr>
      </w:pPr>
      <w:r>
        <w:rPr>
          <w:rFonts w:hint="eastAsia" w:ascii="仿宋_GB2312" w:hAnsi="仿宋" w:eastAsia="仿宋_GB2312" w:cs="宋体"/>
          <w:b/>
          <w:color w:val="auto"/>
          <w:sz w:val="32"/>
          <w:szCs w:val="32"/>
          <w:highlight w:val="none"/>
        </w:rPr>
        <w:t>（十）与安全生产直接相关的其他支出。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hint="eastAsia"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本条是建设工程施工企业安全生产费用的使用范围。</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基于原办法第十九条修订，将原办法中“配备、维护、保养应急救援器材、设备支出”修订为“应急救援技术装备、设施配置及维护保养支出”，进一步扩大建设工程施工企业安全生产费用使用范围，增加了支护及防治边坡滑坡、防触电、事故逃生和紧急避难设施设备的配置支出内容，以及与其他行业共性增加的支出内容。内容的修订主要基于国务院安委会印发的《“十四五”国家安全生产规划》第（九）项：“强化施工现场安全管理和安全生产费用提取使用监管，推动施工现场安全管理标准化规范化。督促企业对临边、洞口、攀登、悬空和交叉作业部位等区域实施重点防护，加强劳动防护用品管理，严防高处坠落事故。推动智慧工地建设，实施建设施工全生命周期管理”。需要在支护及防治边坡滑坡、应急救援技术装备设施配置及维护保养支出、事故逃生和紧急避难设施设备的配置强化安全生产费用保障，对于企业投产时按照“三同时”要求初期投入的安全设施支出则不应当包括在内。此外，房屋、交通、水利、通信等领域建设工程施工环节或多或少涉及带电作业，触电事故也时有发生，施工企业需要配备防触电设施设备用于保障工人安全，为进一步强化施工现场安全生产提供有力支撑。</w:t>
      </w:r>
    </w:p>
    <w:p>
      <w:pPr>
        <w:keepNext w:val="0"/>
        <w:keepLines w:val="0"/>
        <w:pageBreakBefore w:val="0"/>
        <w:widowControl w:val="0"/>
        <w:kinsoku/>
        <w:wordWrap/>
        <w:overflowPunct/>
        <w:topLinePunct w:val="0"/>
        <w:bidi w:val="0"/>
        <w:spacing w:line="560" w:lineRule="exact"/>
        <w:ind w:firstLine="421" w:firstLineChars="200"/>
        <w:jc w:val="center"/>
        <w:rPr>
          <w:rFonts w:ascii="仿宋" w:hAnsi="仿宋" w:eastAsia="仿宋"/>
          <w:color w:val="auto"/>
          <w:sz w:val="32"/>
          <w:szCs w:val="32"/>
          <w:highlight w:val="none"/>
        </w:rPr>
      </w:pPr>
      <w:r>
        <w:rPr>
          <w:rFonts w:hint="eastAsia" w:ascii="宋体" w:hAnsi="宋体" w:eastAsia="宋体"/>
          <w:b/>
          <w:color w:val="auto"/>
          <w:szCs w:val="21"/>
          <w:highlight w:val="none"/>
        </w:rPr>
        <w:t>建设</w:t>
      </w:r>
      <w:r>
        <w:rPr>
          <w:rFonts w:ascii="宋体" w:hAnsi="宋体" w:eastAsia="宋体"/>
          <w:b/>
          <w:color w:val="auto"/>
          <w:szCs w:val="21"/>
          <w:highlight w:val="none"/>
        </w:rPr>
        <w:t>工程施工企业安全生产费用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607"/>
        <w:gridCol w:w="7567"/>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76"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w:t>
            </w:r>
            <w:r>
              <w:rPr>
                <w:rFonts w:ascii="宋体" w:hAnsi="宋体" w:eastAsia="宋体"/>
                <w:color w:val="auto"/>
                <w:szCs w:val="21"/>
                <w:highlight w:val="none"/>
              </w:rPr>
              <w:t>.</w:t>
            </w:r>
            <w:r>
              <w:rPr>
                <w:rFonts w:hint="eastAsia" w:ascii="宋体" w:hAnsi="宋体" w:eastAsia="宋体"/>
                <w:color w:val="auto"/>
                <w:szCs w:val="21"/>
                <w:highlight w:val="none"/>
              </w:rPr>
              <w:t>“三同时”要求初期投入的安全设施支出；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.非正常损耗（如质量不合格、失窃）导致的费用；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.因第三方责任损坏（如被车撞毁），可向第三方索赔的费用；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.非安全专用的防护设施设备的维修保养费用；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5</w:t>
            </w:r>
            <w:r>
              <w:rPr>
                <w:rFonts w:hint="eastAsia" w:ascii="宋体" w:hAnsi="宋体" w:eastAsia="宋体"/>
                <w:color w:val="auto"/>
                <w:szCs w:val="21"/>
                <w:highlight w:val="none"/>
              </w:rPr>
              <w:t>.其他发包人、监理人和承包人共同认定不属于的费用。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w:t>
            </w:r>
            <w:r>
              <w:rPr>
                <w:rFonts w:ascii="宋体" w:hAnsi="宋体" w:eastAsia="宋体"/>
                <w:color w:val="auto"/>
                <w:szCs w:val="21"/>
                <w:highlight w:val="none"/>
              </w:rPr>
              <w:t>.</w:t>
            </w:r>
            <w:r>
              <w:rPr>
                <w:rFonts w:hint="eastAsia" w:ascii="宋体" w:hAnsi="宋体" w:eastAsia="宋体"/>
                <w:color w:val="auto"/>
                <w:szCs w:val="21"/>
                <w:highlight w:val="none"/>
              </w:rPr>
              <w:t>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重大危险源检测、评估、监控和事故隐患整改支出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 xml:space="preserve">1.与工程项目无关的重大危险源检测、评估、监控，安全风险分级管控和事故隐患排查整改支出；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2.重大危险源发生起火、爆炸、毒气泄漏而发生的救援、善后处理等费用；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3.隐患项目治理过程中环保治理、职业病防护设施“三同时”支出；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4.行政主管部门因项目管理不到位等原因处以的罚款。</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安全生产信息化建设、运维和网络安全支出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hint="eastAsia" w:ascii="宋体" w:hAnsi="宋体" w:eastAsia="宋体"/>
                <w:color w:val="auto"/>
                <w:szCs w:val="21"/>
                <w:highlight w:val="none"/>
              </w:rPr>
            </w:pPr>
            <w:r>
              <w:rPr>
                <w:rFonts w:hint="eastAsia" w:ascii="宋体" w:hAnsi="宋体" w:eastAsia="宋体"/>
                <w:color w:val="auto"/>
                <w:szCs w:val="21"/>
                <w:highlight w:val="none"/>
              </w:rPr>
              <w:t>与工程项目无直接相关的安全生产信息化建设、运维和网络安全支出。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w:t>
            </w:r>
            <w:r>
              <w:rPr>
                <w:rFonts w:hint="eastAsia" w:ascii="宋体" w:hAnsi="宋体" w:eastAsia="宋体" w:cs="宋体"/>
                <w:color w:val="auto"/>
                <w:kern w:val="0"/>
                <w:szCs w:val="21"/>
                <w:highlight w:val="none"/>
              </w:rPr>
              <w:t>新建、改建、扩建项目落实安全设施“三同时”要求需要开展的安全预评价、安全验收评价支出</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w:t>
            </w:r>
            <w:r>
              <w:rPr>
                <w:rFonts w:hint="eastAsia" w:ascii="宋体" w:hAnsi="宋体" w:eastAsia="宋体" w:cs="宋体"/>
                <w:color w:val="auto"/>
                <w:kern w:val="0"/>
                <w:szCs w:val="21"/>
                <w:highlight w:val="none"/>
              </w:rPr>
              <w:t>防疫物资购置支出</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9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宣教培训和</w:t>
            </w:r>
            <w:r>
              <w:rPr>
                <w:rFonts w:ascii="宋体" w:hAnsi="宋体" w:eastAsia="宋体"/>
                <w:color w:val="auto"/>
                <w:szCs w:val="21"/>
                <w:highlight w:val="none"/>
              </w:rPr>
              <w:t>现场作业人员发现并报告事故隐患奖励</w:t>
            </w:r>
            <w:r>
              <w:rPr>
                <w:rFonts w:hint="eastAsia" w:ascii="宋体" w:hAnsi="宋体" w:eastAsia="宋体"/>
                <w:color w:val="auto"/>
                <w:szCs w:val="21"/>
                <w:highlight w:val="none"/>
              </w:rPr>
              <w:t>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w:t>
            </w:r>
            <w:r>
              <w:rPr>
                <w:rFonts w:ascii="宋体" w:hAnsi="宋体" w:eastAsia="宋体"/>
                <w:color w:val="auto"/>
                <w:szCs w:val="21"/>
                <w:highlight w:val="none"/>
              </w:rPr>
              <w:t>非安全生产</w:t>
            </w:r>
            <w:r>
              <w:rPr>
                <w:rFonts w:hint="eastAsia" w:ascii="宋体" w:hAnsi="宋体" w:eastAsia="宋体"/>
                <w:color w:val="auto"/>
                <w:szCs w:val="21"/>
                <w:highlight w:val="none"/>
              </w:rPr>
              <w:t>相关岗前培训费、考试费、办证费等费用；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998" w:hRule="atLeast"/>
          <w:jc w:val="center"/>
        </w:trPr>
        <w:tc>
          <w:tcPr>
            <w:tcW w:w="87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w:t>
            </w:r>
            <w:r>
              <w:rPr>
                <w:rFonts w:ascii="宋体" w:hAnsi="宋体" w:eastAsia="宋体"/>
                <w:color w:val="auto"/>
                <w:szCs w:val="21"/>
                <w:highlight w:val="none"/>
              </w:rPr>
              <w:t>.</w:t>
            </w:r>
            <w:r>
              <w:rPr>
                <w:rFonts w:hint="eastAsia" w:ascii="宋体" w:hAnsi="宋体" w:eastAsia="宋体"/>
                <w:color w:val="auto"/>
                <w:szCs w:val="21"/>
                <w:highlight w:val="none"/>
              </w:rPr>
              <w:t>发包人、监理或施工单位与工程的安全生产无直接关系的广告宣传费用。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泥浆泵</w:t>
            </w:r>
            <w:r>
              <w:rPr>
                <w:rFonts w:hint="eastAsia" w:ascii="宋体" w:hAnsi="宋体" w:eastAsia="宋体"/>
                <w:color w:val="auto"/>
                <w:szCs w:val="21"/>
                <w:highlight w:val="none"/>
              </w:rPr>
              <w:t>、搅拌机、</w:t>
            </w:r>
            <w:r>
              <w:rPr>
                <w:rFonts w:ascii="宋体" w:hAnsi="宋体" w:eastAsia="宋体"/>
                <w:color w:val="auto"/>
                <w:szCs w:val="21"/>
                <w:highlight w:val="none"/>
              </w:rPr>
              <w:t>抹平机</w:t>
            </w:r>
            <w:r>
              <w:rPr>
                <w:rFonts w:hint="eastAsia" w:ascii="宋体" w:hAnsi="宋体" w:eastAsia="宋体"/>
                <w:color w:val="auto"/>
                <w:szCs w:val="21"/>
                <w:highlight w:val="none"/>
              </w:rPr>
              <w:t>、</w:t>
            </w:r>
            <w:r>
              <w:rPr>
                <w:rFonts w:ascii="宋体" w:hAnsi="宋体" w:eastAsia="宋体"/>
                <w:color w:val="auto"/>
                <w:szCs w:val="21"/>
                <w:highlight w:val="none"/>
              </w:rPr>
              <w:t>钢筋切断机</w:t>
            </w:r>
            <w:r>
              <w:rPr>
                <w:rFonts w:hint="eastAsia" w:ascii="宋体" w:hAnsi="宋体" w:eastAsia="宋体"/>
                <w:color w:val="auto"/>
                <w:szCs w:val="21"/>
                <w:highlight w:val="none"/>
              </w:rPr>
              <w:t>、挖机、旋挖钻、装载机等普通施工机械设备检测检验、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1</w:t>
            </w:r>
            <w:r>
              <w:rPr>
                <w:rFonts w:hint="eastAsia" w:ascii="宋体" w:hAnsi="宋体" w:eastAsia="宋体"/>
                <w:color w:val="auto"/>
                <w:szCs w:val="21"/>
                <w:highlight w:val="none"/>
              </w:rPr>
              <w:t>.实施建筑工人实名制管理支出；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.从业人员发现并报告事故隐患奖励之外的安全生产考核奖励支出；</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color w:val="auto"/>
                <w:sz w:val="21"/>
                <w:szCs w:val="21"/>
                <w:highlight w:val="none"/>
              </w:rPr>
            </w:pPr>
            <w:r>
              <w:rPr>
                <w:rFonts w:ascii="宋体" w:hAnsi="宋体" w:eastAsia="宋体" w:cstheme="minorBidi"/>
                <w:color w:val="auto"/>
                <w:kern w:val="2"/>
                <w:sz w:val="21"/>
                <w:szCs w:val="21"/>
                <w:highlight w:val="none"/>
              </w:rPr>
              <w:t>3</w:t>
            </w:r>
            <w:r>
              <w:rPr>
                <w:rFonts w:hint="eastAsia" w:ascii="宋体" w:hAnsi="宋体" w:eastAsia="宋体" w:cstheme="minorBidi"/>
                <w:color w:val="auto"/>
                <w:kern w:val="2"/>
                <w:sz w:val="21"/>
                <w:szCs w:val="21"/>
                <w:highlight w:val="none"/>
              </w:rPr>
              <w:t>.建设施工单位为员工租房办公生活的租金、工地板房、集装箱式临建设施支出；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color w:val="auto"/>
                <w:sz w:val="21"/>
                <w:szCs w:val="21"/>
                <w:highlight w:val="none"/>
              </w:rPr>
            </w:pPr>
            <w:r>
              <w:rPr>
                <w:rFonts w:ascii="宋体" w:hAnsi="宋体" w:eastAsia="宋体" w:cstheme="minorBidi"/>
                <w:color w:val="auto"/>
                <w:kern w:val="2"/>
                <w:sz w:val="21"/>
                <w:szCs w:val="21"/>
                <w:highlight w:val="none"/>
              </w:rPr>
              <w:t>4</w:t>
            </w:r>
            <w:r>
              <w:rPr>
                <w:rFonts w:hint="eastAsia" w:ascii="宋体" w:hAnsi="宋体" w:eastAsia="宋体" w:cstheme="minorBidi"/>
                <w:color w:val="auto"/>
                <w:kern w:val="2"/>
                <w:sz w:val="21"/>
                <w:szCs w:val="21"/>
                <w:highlight w:val="none"/>
              </w:rPr>
              <w:t>.专职或</w:t>
            </w:r>
            <w:r>
              <w:rPr>
                <w:rFonts w:ascii="宋体" w:hAnsi="宋体" w:eastAsia="宋体" w:cstheme="minorBidi"/>
                <w:color w:val="auto"/>
                <w:kern w:val="2"/>
                <w:sz w:val="21"/>
                <w:szCs w:val="21"/>
                <w:highlight w:val="none"/>
              </w:rPr>
              <w:t>兼职安全管理人员</w:t>
            </w:r>
            <w:r>
              <w:rPr>
                <w:rFonts w:hint="eastAsia" w:ascii="宋体" w:hAnsi="宋体" w:eastAsia="宋体" w:cstheme="minorBidi"/>
                <w:color w:val="auto"/>
                <w:kern w:val="2"/>
                <w:sz w:val="21"/>
                <w:szCs w:val="21"/>
                <w:highlight w:val="none"/>
              </w:rPr>
              <w:t>的薪酬、社保、岗位风险津贴，保安岗位人员</w:t>
            </w:r>
            <w:r>
              <w:rPr>
                <w:rFonts w:ascii="宋体" w:hAnsi="宋体" w:eastAsia="宋体" w:cstheme="minorBidi"/>
                <w:color w:val="auto"/>
                <w:kern w:val="2"/>
                <w:sz w:val="21"/>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97"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theme="minorBidi"/>
                <w:color w:val="auto"/>
                <w:kern w:val="2"/>
                <w:sz w:val="21"/>
                <w:szCs w:val="21"/>
                <w:highlight w:val="none"/>
              </w:rPr>
            </w:pPr>
            <w:r>
              <w:rPr>
                <w:rFonts w:ascii="宋体" w:hAnsi="宋体" w:eastAsia="宋体" w:cs="宋体"/>
                <w:color w:val="auto"/>
                <w:sz w:val="21"/>
                <w:szCs w:val="21"/>
                <w:highlight w:val="none"/>
              </w:rPr>
              <w:t>5</w:t>
            </w:r>
            <w:r>
              <w:rPr>
                <w:rFonts w:hint="eastAsia" w:ascii="宋体" w:hAnsi="宋体" w:eastAsia="宋体" w:cs="宋体"/>
                <w:color w:val="auto"/>
                <w:sz w:val="21"/>
                <w:szCs w:val="21"/>
                <w:highlight w:val="none"/>
              </w:rPr>
              <w:t>.爆炸品库建设以及购买生产用爆破器材、爆炸品费用支出；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70"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sz w:val="21"/>
                <w:szCs w:val="21"/>
                <w:highlight w:val="none"/>
              </w:rPr>
            </w:pPr>
            <w:r>
              <w:rPr>
                <w:rFonts w:hint="eastAsia" w:ascii="宋体" w:hAnsi="宋体" w:eastAsia="宋体"/>
                <w:color w:val="auto"/>
                <w:sz w:val="21"/>
                <w:szCs w:val="21"/>
                <w:highlight w:val="none"/>
              </w:rPr>
              <w:t>6.职业病危害因素检测、</w:t>
            </w:r>
            <w:r>
              <w:rPr>
                <w:rFonts w:hint="eastAsia" w:ascii="宋体" w:hAnsi="宋体" w:eastAsia="宋体" w:cs="宋体"/>
                <w:color w:val="auto"/>
                <w:sz w:val="21"/>
                <w:szCs w:val="21"/>
                <w:highlight w:val="none"/>
              </w:rPr>
              <w:t>职业健康体检以及职业病诊断、鉴定、治疗、康复费用</w:t>
            </w:r>
            <w:r>
              <w:rPr>
                <w:rFonts w:hint="eastAsia" w:ascii="宋体" w:hAnsi="宋体" w:eastAsia="宋体"/>
                <w:color w:val="auto"/>
                <w:sz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7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2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bCs/>
                <w:color w:val="auto"/>
                <w:szCs w:val="21"/>
                <w:highlight w:val="none"/>
              </w:rPr>
            </w:pPr>
            <w:r>
              <w:rPr>
                <w:rFonts w:ascii="宋体" w:hAnsi="宋体" w:eastAsia="宋体"/>
                <w:color w:val="auto"/>
                <w:szCs w:val="21"/>
                <w:highlight w:val="none"/>
              </w:rPr>
              <w:t>7</w:t>
            </w:r>
            <w:r>
              <w:rPr>
                <w:rFonts w:hint="eastAsia" w:ascii="宋体" w:hAnsi="宋体" w:eastAsia="宋体"/>
                <w:color w:val="auto"/>
                <w:szCs w:val="21"/>
                <w:highlight w:val="none"/>
              </w:rPr>
              <w:t>.建设单位和监理单位、施工单位共同认定的其他支出。</w:t>
            </w:r>
          </w:p>
        </w:tc>
      </w:tr>
    </w:tbl>
    <w:p>
      <w:pPr>
        <w:keepNext w:val="0"/>
        <w:keepLines w:val="0"/>
        <w:pageBreakBefore w:val="0"/>
        <w:widowControl w:val="0"/>
        <w:kinsoku/>
        <w:wordWrap/>
        <w:overflowPunct/>
        <w:topLinePunct w:val="0"/>
        <w:bidi w:val="0"/>
        <w:spacing w:line="560" w:lineRule="exact"/>
        <w:ind w:firstLine="421" w:firstLineChars="200"/>
        <w:rPr>
          <w:rFonts w:ascii="楷体" w:hAnsi="楷体" w:eastAsia="楷体" w:cs="宋体"/>
          <w:bCs/>
          <w:color w:val="auto"/>
          <w:kern w:val="0"/>
          <w:szCs w:val="21"/>
          <w:highlight w:val="none"/>
        </w:rPr>
      </w:pPr>
      <w:r>
        <w:rPr>
          <w:rFonts w:hint="eastAsia" w:ascii="楷体" w:hAnsi="楷体" w:eastAsia="楷体" w:cs="宋体"/>
          <w:b/>
          <w:bCs/>
          <w:color w:val="auto"/>
          <w:kern w:val="0"/>
          <w:szCs w:val="21"/>
          <w:highlight w:val="none"/>
        </w:rPr>
        <w:t>注</w:t>
      </w:r>
      <w:r>
        <w:rPr>
          <w:rFonts w:ascii="楷体" w:hAnsi="楷体" w:eastAsia="楷体" w:cs="宋体"/>
          <w:b/>
          <w:bCs/>
          <w:color w:val="auto"/>
          <w:kern w:val="0"/>
          <w:szCs w:val="21"/>
          <w:highlight w:val="none"/>
        </w:rPr>
        <w:t>：</w:t>
      </w:r>
      <w:r>
        <w:rPr>
          <w:rFonts w:hint="eastAsia" w:ascii="楷体" w:hAnsi="楷体" w:eastAsia="楷体" w:cs="宋体"/>
          <w:bCs/>
          <w:color w:val="auto"/>
          <w:kern w:val="0"/>
          <w:szCs w:val="21"/>
          <w:highlight w:val="none"/>
        </w:rPr>
        <w:t>以上清单支出范围不宜列入建设工程施工企业安全生产费用，需要按原有费用渠道列支和管理。</w:t>
      </w:r>
      <w:bookmarkEnd w:id="12"/>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14" w:name="_Toc152145212"/>
      <w:bookmarkStart w:id="15" w:name="_Toc147996026"/>
      <w:r>
        <w:rPr>
          <w:rFonts w:hint="eastAsia" w:ascii="黑体" w:hAnsi="黑体" w:eastAsia="黑体"/>
          <w:b w:val="0"/>
          <w:color w:val="auto"/>
          <w:highlight w:val="none"/>
        </w:rPr>
        <w:t>第五节  危险品生产与储存企业</w:t>
      </w:r>
      <w:bookmarkEnd w:id="14"/>
      <w:bookmarkEnd w:id="15"/>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第二十条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危险品生产与储存是指经批准开展列入国家标准《危险货物品名表》（GB12268）、《危险化学品目录》物品，以及列入国家有关规定危险品直接生产和聚积保存的活动（不含销售和使用）。</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危险品运输适用第六节规定。</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本条是适用办法的危险品生产与储存行业的属性内涵。</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次修订了危险品生产与储存行业属性范畴，明确其适用范围不含危险品销售和使用。基于在港口领域，危险品的范畴还包括列入《国际海运危险货物规则》《国际海运固体散装货物规则》等国际公约中的物品，在原办法第四条“危险品是指列入国家标准《危险货物品名表》（GB12268）和《危险化学品目录》的物品”表述中增加“以及列入国家有关规定危险品直接生产和聚积保存的活动”。本办法所称危险品储存企业，是指从事危险品储存活动的企业。“不含销售和使用”是指从事不储存危险品的经营企业以及危险品使用企业不属于办法要求的企业。</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第二十一条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危险品生产与储存企业以上一年度营业收入为依据，采取超额累退方式确定本年度应计提金额，并逐月平均提取。具体如下：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（一）上一年度营业收入不超过1000万元的，按照4.5%提取；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（二）上一年度营业收入超过1000万元至1亿元的部分，按照2.25%提取；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（三）上一年度营业收入超过1亿元至10亿元的部分，按照0.55%提取；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（四）上一年度营业收入超过10亿元的部分，按照0.2%提取。</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本条是危险品生产与储存企业安全生产费用的提取标准。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近几年，危险品生产与储存企业重特大事故频发，2015年8月12日，天津市滨海新区天津港的瑞海公司危险品仓库发生火灾爆炸事故，死亡165人。2019年3月21日，江苏省盐城市响水县天嘉宜化工有限公司发生爆炸事故，死亡78人。危险品生产与储存企业一旦发生事故会导致群死群伤，负面影响和心理冲击巨大，根据对事故的调查分析，间接导致事故原因普遍存在安全生产投入不足。为进一步防范遏制危险品行业生产安全事故，本次修订提高了危险品生产与储存企业安全生产费用提取标准，即：上一年度营业收入不超过1000万元的，安全生产费用计提标准由4%上调到4.5%；营业收入超过1000万元至1亿元的部分，安全生产费用计提标准由2%上调到2.25%；营业收入超过1亿元至10亿元的部分，安全生产费用计提标准由0.5%上调到0.55%。</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超额累退计提举例说明：比如某危险品生产企业上一年度营业收入为1200万元，其中1000万元按照4.5%提取，剩余的200万元按照2.25%提取，然后相加。计算方式如下：</w:t>
      </w:r>
    </w:p>
    <w:p>
      <w:pPr>
        <w:keepNext w:val="0"/>
        <w:keepLines w:val="0"/>
        <w:pageBreakBefore w:val="0"/>
        <w:widowControl w:val="0"/>
        <w:tabs>
          <w:tab w:val="left" w:pos="860"/>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M ≤1000万元，按M×4.5%计提；</w:t>
      </w:r>
    </w:p>
    <w:p>
      <w:pPr>
        <w:keepNext w:val="0"/>
        <w:keepLines w:val="0"/>
        <w:pageBreakBefore w:val="0"/>
        <w:widowControl w:val="0"/>
        <w:tabs>
          <w:tab w:val="left" w:pos="860"/>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1000万元＜M≤1亿元，按1000万元×4.5%+（M-1000万元）×2.25%计提；</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1亿元＜M≤10亿元，按1000万元×4.5%+（1亿元-1000万元）×2.25%+（M-1亿元）×0.55%计提；</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10亿元＜M，按1000万元×4.5%+（1亿元-1000万元）×2.25%+（10亿元-1亿元）×0.55%+（M-10亿元）×0.2%计提。</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第二十二条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危险品生产与储存企业安全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支出（不含“三同时”要求初期投入的安全设施），包括车间、库房、罐区等作业场所的监控、监测、通风、防晒、调温、防火、灭火、防爆、泄压、防毒、消毒、中和、防潮、防雷、防静电、防腐、防渗漏、防护围堤和隔离操作等设施设备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（三）开展重大危险源检测、评估、监控支出，安全风险分级管控和事故隐患排查整改支出，安全生产风险监测预警系统等安全生产信息系统建设、运维和网络安全支出；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（九）安全生产责任保险支出；</w:t>
      </w:r>
    </w:p>
    <w:p>
      <w:pPr>
        <w:keepNext w:val="0"/>
        <w:keepLines w:val="0"/>
        <w:pageBreakBefore w:val="0"/>
        <w:widowControl w:val="0"/>
        <w:kinsoku/>
        <w:wordWrap/>
        <w:overflowPunct/>
        <w:topLinePunct w:val="0"/>
        <w:bidi w:val="0"/>
        <w:spacing w:line="560" w:lineRule="exact"/>
        <w:ind w:firstLine="64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（十）与安全生产直接相关的其他支出。</w:t>
      </w:r>
    </w:p>
    <w:p>
      <w:pPr>
        <w:keepNext w:val="0"/>
        <w:keepLines w:val="0"/>
        <w:pageBreakBefore w:val="0"/>
        <w:widowControl w:val="0"/>
        <w:kinsoku/>
        <w:wordWrap/>
        <w:overflowPunct/>
        <w:topLinePunct w:val="0"/>
        <w:bidi w:val="0"/>
        <w:spacing w:line="560" w:lineRule="exact"/>
        <w:ind w:firstLine="64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本条是危险品生产与储存企业安全生产费用的使用范围。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二十条修订，扩大了危险品生产与储存企业安全生产费用使用范围。与原办法相比，增加了应急救援队伍建设与应急预案制修订、重大危险源检测、安全风险分级管控、事故隐患排查、安全生产风险监测预警系统等安全生产信息系统建设、运维和网络安全、安全生产责任保险及从业人员发现并报告事故隐患的奖励、安全设施及特种设备检定校准等支出内容。</w:t>
      </w:r>
    </w:p>
    <w:p>
      <w:pPr>
        <w:keepNext w:val="0"/>
        <w:keepLines w:val="0"/>
        <w:pageBreakBefore w:val="0"/>
        <w:widowControl w:val="0"/>
        <w:kinsoku/>
        <w:wordWrap/>
        <w:overflowPunct/>
        <w:topLinePunct w:val="0"/>
        <w:bidi w:val="0"/>
        <w:spacing w:line="560" w:lineRule="exact"/>
        <w:ind w:firstLine="646"/>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基于《国务院安委会办公室 应急管理部关于加快推进危险化学品安全生产风险监测预警系统建设的指导意见》（安委办〔2019〕11号），本次修订将安全生产风险监测预警系统等安全生产信息系统建设纳入安全生产费用使用范围，以提升危险品领域安全管理信息化水平，防范化解危险品领域系统性安全风险。</w:t>
      </w:r>
    </w:p>
    <w:p>
      <w:pPr>
        <w:keepNext w:val="0"/>
        <w:keepLines w:val="0"/>
        <w:pageBreakBefore w:val="0"/>
        <w:widowControl w:val="0"/>
        <w:kinsoku/>
        <w:wordWrap/>
        <w:overflowPunct/>
        <w:topLinePunct w:val="0"/>
        <w:bidi w:val="0"/>
        <w:spacing w:line="560" w:lineRule="exact"/>
        <w:jc w:val="center"/>
        <w:rPr>
          <w:rFonts w:ascii="仿宋" w:hAnsi="仿宋" w:eastAsia="仿宋"/>
          <w:color w:val="auto"/>
          <w:sz w:val="32"/>
          <w:szCs w:val="32"/>
          <w:highlight w:val="none"/>
        </w:rPr>
      </w:pPr>
      <w:r>
        <w:rPr>
          <w:rFonts w:hint="eastAsia" w:ascii="宋体" w:hAnsi="宋体" w:eastAsia="宋体"/>
          <w:b/>
          <w:color w:val="auto"/>
          <w:szCs w:val="21"/>
          <w:highlight w:val="none"/>
        </w:rPr>
        <w:t>危险品生产</w:t>
      </w:r>
      <w:r>
        <w:rPr>
          <w:rFonts w:ascii="宋体" w:hAnsi="宋体" w:eastAsia="宋体"/>
          <w:b/>
          <w:color w:val="auto"/>
          <w:szCs w:val="21"/>
          <w:highlight w:val="none"/>
        </w:rPr>
        <w:t>与储存企业安全生产费用</w:t>
      </w:r>
      <w:r>
        <w:rPr>
          <w:rFonts w:hint="eastAsia" w:ascii="宋体" w:hAnsi="宋体" w:eastAsia="宋体"/>
          <w:b/>
          <w:color w:val="auto"/>
          <w:szCs w:val="21"/>
          <w:highlight w:val="none"/>
        </w:rPr>
        <w:t>负面支出清单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2.防爆工器具（如防爆工具、防爆掀等工具）购置支出；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.生产类装置及通用附件的完善、</w:t>
            </w:r>
            <w:r>
              <w:rPr>
                <w:rFonts w:ascii="宋体" w:hAnsi="宋体" w:eastAsia="宋体"/>
                <w:color w:val="auto"/>
                <w:szCs w:val="21"/>
                <w:highlight w:val="none"/>
              </w:rPr>
              <w:t>改造和维护</w:t>
            </w:r>
            <w:r>
              <w:rPr>
                <w:rFonts w:hint="eastAsia" w:ascii="宋体" w:hAnsi="宋体" w:eastAsia="宋体"/>
                <w:color w:val="auto"/>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0"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0"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2.危险废弃物</w:t>
            </w:r>
            <w:r>
              <w:rPr>
                <w:rFonts w:ascii="宋体" w:hAnsi="宋体" w:eastAsia="宋体"/>
                <w:color w:val="auto"/>
                <w:szCs w:val="21"/>
                <w:highlight w:val="none"/>
              </w:rPr>
              <w:t xml:space="preserve">处置费用；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0"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1"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1.</w:t>
            </w:r>
            <w:r>
              <w:rPr>
                <w:rFonts w:hint="eastAsia" w:ascii="宋体" w:hAnsi="宋体" w:eastAsia="宋体"/>
                <w:color w:val="auto"/>
                <w:szCs w:val="21"/>
                <w:highlight w:val="none"/>
              </w:rPr>
              <w:t>根据环保要求需定期开展的泄漏与修复（LDAR）检测费用；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2.压力容器反应釜清理费、叉车维修费及保养费用；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w:t>
            </w:r>
            <w:r>
              <w:rPr>
                <w:rFonts w:ascii="宋体" w:hAnsi="宋体" w:eastAsia="宋体"/>
                <w:color w:val="auto"/>
                <w:szCs w:val="21"/>
                <w:highlight w:val="none"/>
              </w:rPr>
              <w:t>设施、</w:t>
            </w:r>
            <w:r>
              <w:rPr>
                <w:rFonts w:hint="eastAsia" w:ascii="宋体" w:hAnsi="宋体" w:eastAsia="宋体"/>
                <w:color w:val="auto"/>
                <w:szCs w:val="21"/>
                <w:highlight w:val="none"/>
              </w:rPr>
              <w:t>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w:t>
            </w:r>
            <w:r>
              <w:rPr>
                <w:rFonts w:hint="eastAsia" w:ascii="宋体" w:hAnsi="宋体" w:eastAsia="宋体"/>
                <w:color w:val="auto"/>
                <w:szCs w:val="21"/>
                <w:highlight w:val="none"/>
              </w:rPr>
              <w:t>的</w:t>
            </w:r>
            <w:r>
              <w:rPr>
                <w:rFonts w:ascii="宋体" w:hAnsi="宋体" w:eastAsia="宋体"/>
                <w:color w:val="auto"/>
                <w:szCs w:val="21"/>
                <w:highlight w:val="none"/>
              </w:rPr>
              <w:t>薪酬</w:t>
            </w:r>
            <w:r>
              <w:rPr>
                <w:rFonts w:hint="eastAsia" w:ascii="宋体" w:hAnsi="宋体" w:eastAsia="宋体"/>
                <w:color w:val="auto"/>
                <w:szCs w:val="21"/>
                <w:highlight w:val="none"/>
              </w:rPr>
              <w:t>、社保、岗位风险津贴，保安岗位人员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keepNext w:val="0"/>
        <w:keepLines w:val="0"/>
        <w:pageBreakBefore w:val="0"/>
        <w:widowControl w:val="0"/>
        <w:kinsoku/>
        <w:wordWrap/>
        <w:overflowPunct/>
        <w:topLinePunct w:val="0"/>
        <w:bidi w:val="0"/>
        <w:spacing w:line="560" w:lineRule="exact"/>
        <w:ind w:firstLine="421" w:firstLineChars="200"/>
        <w:jc w:val="left"/>
        <w:rPr>
          <w:rFonts w:ascii="楷体" w:hAnsi="楷体" w:eastAsia="楷体" w:cs="宋体"/>
          <w:bCs/>
          <w:color w:val="auto"/>
          <w:kern w:val="0"/>
          <w:szCs w:val="21"/>
          <w:highlight w:val="none"/>
        </w:rPr>
      </w:pPr>
      <w:r>
        <w:rPr>
          <w:rFonts w:hint="eastAsia" w:ascii="楷体" w:hAnsi="楷体" w:eastAsia="楷体" w:cs="宋体"/>
          <w:b/>
          <w:bCs/>
          <w:color w:val="auto"/>
          <w:kern w:val="0"/>
          <w:szCs w:val="21"/>
          <w:highlight w:val="none"/>
        </w:rPr>
        <w:t>注</w:t>
      </w:r>
      <w:r>
        <w:rPr>
          <w:rFonts w:ascii="楷体" w:hAnsi="楷体" w:eastAsia="楷体" w:cs="宋体"/>
          <w:b/>
          <w:bCs/>
          <w:color w:val="auto"/>
          <w:kern w:val="0"/>
          <w:szCs w:val="21"/>
          <w:highlight w:val="none"/>
        </w:rPr>
        <w:t>：</w:t>
      </w:r>
      <w:r>
        <w:rPr>
          <w:rFonts w:hint="eastAsia" w:ascii="楷体" w:hAnsi="楷体" w:eastAsia="楷体" w:cs="宋体"/>
          <w:bCs/>
          <w:color w:val="auto"/>
          <w:kern w:val="0"/>
          <w:szCs w:val="21"/>
          <w:highlight w:val="none"/>
        </w:rPr>
        <w:t>以上清单支出范围不宜列入危险品生产与储存企业安全生产费用，需要按原有费用渠道列支和管理。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16" w:name="_Toc147996027"/>
      <w:bookmarkStart w:id="17" w:name="_Toc152145213"/>
      <w:r>
        <w:rPr>
          <w:rFonts w:hint="eastAsia" w:ascii="黑体" w:hAnsi="黑体" w:eastAsia="黑体"/>
          <w:b w:val="0"/>
          <w:color w:val="auto"/>
          <w:highlight w:val="none"/>
        </w:rPr>
        <w:t>第六节  交通运输企业</w:t>
      </w:r>
      <w:bookmarkEnd w:id="16"/>
      <w:bookmarkEnd w:id="17"/>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第二十三条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交通运输包括道路运输、铁路运输、城市轨道交通、水路运输、管道运输。</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道路运输是指《中华人民共和国道路运输条例》规定的道路旅客运输和道路货物运输；铁路运输是指《中华人民共和国铁路法》规定的铁路旅客运输和货物运输；城市轨道交通是指依规定批准建设的，采用专用轨道导向运行的城市公共客运交通系统，包括地铁、轻轨、单轨、有轨电车、磁浮、自动导向轨道、市域快速轨道系统；水路运输是指以运输船舶为工具的经营性旅客和货物运输及港口装卸、过驳、仓储；管道运输是指以管道为工具的液体和气体物资运输。</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本条是适用办法的交通运输行业的属性内涵。</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近年来，我国城市轨道交通取得快速发展，逐步成为城市公共交通的重要组成部分，城市轨道交通作为重要的民生工程，运营安全事关人民群众切身利益。未来几年，新开通运营城市数量不断增多，已开通运营城市网络规模持续扩大，新增运营里程迅速增加，对加强城市轨道交通运营安全提出了新的更高要求，考虑到城市轨道交通是提供旅客运输服务的大容量城市交通系统，其安全状况事关广大人民群众的生命安全和公共安全，需要加大安全生产投入予以保证。《交通运输部关于加强城市轨道交通运营安全管理的意见》（交运发〔2014〕201号）要求“城市轨道交通运营单位要保障运营安全所必需的资金投入，确保各项工作的顺利开展，并建立安全生产投入长效机制，保证安全生产经费的足额投入和规范使用”。所以，本次修订调整了交通运输范围，在交通运输领域增加城市轨道交通。此外，根据《中华人民共和国道路运输条例》第二章“道路运输经营”条件规定、第八十二条“出租车客运和城市公共汽车客运的管理办法由国务院另行规定”规定，无自有运输工具的平台类物流企业、出租车客运和城市公共汽车客运不纳入道路运输企业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第二十四条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交通运输企业以上一年度营业收入为依据，确定本年度应计提金额，并逐月平均提取。具体如下：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（一）普通货运业务1%；</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（二）客运业务、管道运输、危险品等特殊货运业务1.5%。</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本条是交通运输企业安全生产费用的提取依据与标准。</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交通运输企业安全生产费用计提依据与标准维持原办法规定不变。</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第二十五条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交通运输企业安全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支出（不含“三同时”要求初期投入的安全设施），包括道路、水路、铁路、城市轨道交通、管道运输设施设备和装卸工具安全状况检测及维护系统、运输设施设备和装卸工具附属安全设备等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（二）购置、安装和使用具有行驶记录功能的车辆卫星定位装置、视频监控装置、船舶通信导航定位和自动识别系统、电子海图等支出；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 xml:space="preserve">（三）铁路和城市轨道交通防灾监测预警设备及铁路周界入侵报警系统、铁路危险品运输安全监测设备支出； </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（九）安全生产适用的新技术、新标准、新工艺、新装备的推广应用支出；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（十）安全设施及特种设备检测检验、检定校准、铁路和城市轨道交通基础设备安全检测支出；</w:t>
      </w:r>
      <w:r>
        <w:rPr>
          <w:rFonts w:hint="eastAsia" w:ascii="仿宋_GB2312" w:hAnsi="仿宋" w:eastAsia="仿宋_GB2312" w:cs="宋体"/>
          <w:b/>
          <w:color w:val="auto"/>
          <w:kern w:val="0"/>
          <w:sz w:val="32"/>
          <w:szCs w:val="32"/>
          <w:highlight w:val="none"/>
        </w:rPr>
        <w:t xml:space="preserve"> </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（十一）安全生产责任保险及承运人责任保险支出；</w:t>
      </w:r>
    </w:p>
    <w:p>
      <w:pPr>
        <w:pStyle w:val="21"/>
        <w:keepNext w:val="0"/>
        <w:keepLines w:val="0"/>
        <w:pageBreakBefore w:val="0"/>
        <w:widowControl w:val="0"/>
        <w:kinsoku/>
        <w:wordWrap/>
        <w:overflowPunct/>
        <w:topLinePunct w:val="0"/>
        <w:bidi w:val="0"/>
        <w:spacing w:beforeAutospacing="0" w:afterAutospacing="0" w:line="560" w:lineRule="exact"/>
        <w:ind w:firstLine="642" w:firstLineChars="200"/>
        <w:rPr>
          <w:rFonts w:hint="eastAsia" w:ascii="仿宋_GB2312" w:hAnsi="仿宋" w:eastAsia="仿宋_GB2312" w:cs="宋体"/>
          <w:b/>
          <w:color w:val="auto"/>
          <w:sz w:val="32"/>
          <w:szCs w:val="32"/>
          <w:highlight w:val="none"/>
        </w:rPr>
      </w:pPr>
      <w:r>
        <w:rPr>
          <w:rFonts w:hint="eastAsia" w:ascii="仿宋_GB2312" w:hAnsi="仿宋" w:eastAsia="仿宋_GB2312" w:cs="宋体"/>
          <w:b/>
          <w:color w:val="auto"/>
          <w:sz w:val="32"/>
          <w:szCs w:val="32"/>
          <w:highlight w:val="none"/>
        </w:rPr>
        <w:t>（十二）与安全生产直接相关的其他支出。</w:t>
      </w:r>
    </w:p>
    <w:p>
      <w:pPr>
        <w:pStyle w:val="21"/>
        <w:keepNext w:val="0"/>
        <w:keepLines w:val="0"/>
        <w:pageBreakBefore w:val="0"/>
        <w:widowControl w:val="0"/>
        <w:kinsoku/>
        <w:wordWrap/>
        <w:overflowPunct/>
        <w:topLinePunct w:val="0"/>
        <w:bidi w:val="0"/>
        <w:spacing w:beforeAutospacing="0" w:afterAutospacing="0"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本条是交通运输企业安全生产费用的使用范围。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二十一条修订，扩大了交通运输企业安全生产费用支出范围。考虑到在交通运输领域增加了城市轨道交通，安全生产费用使用范围增加了与城市轨道交通安全直接相关的城市轨道交通运输设施设备和装卸工具安全状况检测及维护系统、运输设施设备和装卸工具附属安全设备等支出。同时根据加强安全生产监控监测信息化的需求，此次修订增加了铁路和城市轨道交通防灾监测预警设备、铁路周界入侵报警系统、铁路危险品运输安全监测设备、铁路和城市轨道交通基础设备安全检测等支出内容。</w:t>
      </w:r>
    </w:p>
    <w:p>
      <w:pPr>
        <w:pStyle w:val="21"/>
        <w:keepNext w:val="0"/>
        <w:keepLines w:val="0"/>
        <w:pageBreakBefore w:val="0"/>
        <w:widowControl w:val="0"/>
        <w:kinsoku/>
        <w:wordWrap/>
        <w:overflowPunct/>
        <w:topLinePunct w:val="0"/>
        <w:bidi w:val="0"/>
        <w:spacing w:beforeAutospacing="0" w:afterAutospacing="0"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2019年交通运输部印发通知，要求进一步加快智能视频监控报警装置安装，提升道路运输车辆技术性能，加强道路运输安全监管，本次修订将车辆视频监控装置支出纳入。考虑到办法出台前，交通运输领域已实施强制性责任保险（《中华人民共和国道路运输条例》第三十五条：客运经营者、危险货物运输经营者应当分别为旅客或者危险货物投保承运人责任险），为与安全生产责任保险衔接，办法明确交通运输企业安全生产责任保险及承运人责任保险可纳入安全生产费用使用范围。</w:t>
      </w:r>
    </w:p>
    <w:p>
      <w:pPr>
        <w:pStyle w:val="21"/>
        <w:keepNext w:val="0"/>
        <w:keepLines w:val="0"/>
        <w:pageBreakBefore w:val="0"/>
        <w:widowControl w:val="0"/>
        <w:kinsoku/>
        <w:wordWrap/>
        <w:overflowPunct/>
        <w:topLinePunct w:val="0"/>
        <w:bidi w:val="0"/>
        <w:spacing w:beforeAutospacing="0" w:afterAutospacing="0" w:line="560" w:lineRule="exact"/>
        <w:jc w:val="center"/>
        <w:rPr>
          <w:rFonts w:ascii="宋体" w:hAnsi="宋体" w:eastAsia="宋体" w:cstheme="minorBidi"/>
          <w:b/>
          <w:color w:val="auto"/>
          <w:kern w:val="2"/>
          <w:sz w:val="21"/>
          <w:szCs w:val="21"/>
          <w:highlight w:val="none"/>
        </w:rPr>
      </w:pPr>
      <w:r>
        <w:rPr>
          <w:rFonts w:hint="eastAsia" w:ascii="宋体" w:hAnsi="宋体" w:eastAsia="宋体" w:cstheme="minorBidi"/>
          <w:b/>
          <w:color w:val="auto"/>
          <w:kern w:val="2"/>
          <w:sz w:val="21"/>
          <w:szCs w:val="21"/>
          <w:highlight w:val="none"/>
        </w:rPr>
        <w:t>交通运输</w:t>
      </w:r>
      <w:r>
        <w:rPr>
          <w:rFonts w:ascii="宋体" w:hAnsi="宋体" w:eastAsia="宋体" w:cstheme="minorBidi"/>
          <w:b/>
          <w:color w:val="auto"/>
          <w:kern w:val="2"/>
          <w:sz w:val="21"/>
          <w:szCs w:val="21"/>
          <w:highlight w:val="none"/>
        </w:rPr>
        <w:t>企业安全生产费用</w:t>
      </w:r>
      <w:r>
        <w:rPr>
          <w:rFonts w:hint="eastAsia" w:ascii="宋体" w:hAnsi="宋体" w:eastAsia="宋体" w:cstheme="minorBidi"/>
          <w:b/>
          <w:color w:val="auto"/>
          <w:kern w:val="2"/>
          <w:sz w:val="21"/>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690"/>
        <w:gridCol w:w="7484"/>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tblHeader/>
          <w:jc w:val="center"/>
        </w:trPr>
        <w:tc>
          <w:tcPr>
            <w:tcW w:w="921"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1.按照“三同时”要求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 xml:space="preserve">2.客货运输的通航建筑物（含船闸和升船机）和航运枢纽大坝设施设备和关键部位日常运行监测和维护支出；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3.道路、港口、铁路的养护费用。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购置、安装和使用车辆定位、视频监控、船舶导航定位和电子海图等支出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购置、安装和使用</w:t>
            </w:r>
            <w:r>
              <w:rPr>
                <w:rFonts w:hint="eastAsia" w:ascii="宋体" w:hAnsi="宋体" w:eastAsia="宋体"/>
                <w:color w:val="auto"/>
                <w:szCs w:val="21"/>
                <w:highlight w:val="none"/>
              </w:rPr>
              <w:t>船舶集装箱定位及物联网设备支出。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90"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90"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90"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color w:val="auto"/>
                <w:sz w:val="21"/>
                <w:szCs w:val="21"/>
                <w:highlight w:val="none"/>
              </w:rPr>
            </w:pPr>
            <w:r>
              <w:rPr>
                <w:rFonts w:ascii="宋体" w:hAnsi="宋体" w:eastAsia="宋体" w:cstheme="minorBidi"/>
                <w:color w:val="auto"/>
                <w:kern w:val="2"/>
                <w:sz w:val="21"/>
                <w:szCs w:val="21"/>
                <w:highlight w:val="none"/>
              </w:rPr>
              <w:t>2.</w:t>
            </w:r>
            <w:r>
              <w:rPr>
                <w:rFonts w:hint="eastAsia" w:ascii="宋体" w:hAnsi="宋体" w:eastAsia="宋体" w:cstheme="minorBidi"/>
                <w:color w:val="auto"/>
                <w:kern w:val="2"/>
                <w:sz w:val="21"/>
                <w:szCs w:val="21"/>
                <w:highlight w:val="none"/>
              </w:rPr>
              <w:t>道路运输车辆的检测费用、年审费用、维修费。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w:t>
            </w:r>
            <w:r>
              <w:rPr>
                <w:rFonts w:hint="eastAsia" w:ascii="宋体" w:hAnsi="宋体" w:eastAsia="宋体"/>
                <w:color w:val="auto"/>
                <w:szCs w:val="21"/>
                <w:highlight w:val="none"/>
              </w:rPr>
              <w:t>及承运人责任保险</w:t>
            </w:r>
            <w:r>
              <w:rPr>
                <w:rFonts w:ascii="宋体" w:hAnsi="宋体" w:eastAsia="宋体"/>
                <w:color w:val="auto"/>
                <w:szCs w:val="21"/>
                <w:highlight w:val="none"/>
              </w:rPr>
              <w:t>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法定安全生产责任保险及承运人责任保险之外的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2.专职或兼职</w:t>
            </w:r>
            <w:r>
              <w:rPr>
                <w:rFonts w:ascii="宋体" w:hAnsi="宋体" w:eastAsia="宋体"/>
                <w:color w:val="auto"/>
                <w:szCs w:val="21"/>
                <w:highlight w:val="none"/>
              </w:rPr>
              <w:t>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w:t>
            </w:r>
            <w:r>
              <w:rPr>
                <w:rFonts w:hint="eastAsia" w:ascii="宋体" w:hAnsi="宋体" w:eastAsia="宋体"/>
                <w:color w:val="auto"/>
                <w:szCs w:val="21"/>
                <w:highlight w:val="none"/>
              </w:rPr>
              <w:t>和</w:t>
            </w:r>
            <w:r>
              <w:rPr>
                <w:rFonts w:ascii="宋体" w:hAnsi="宋体" w:eastAsia="宋体"/>
                <w:color w:val="auto"/>
                <w:szCs w:val="21"/>
                <w:highlight w:val="none"/>
              </w:rPr>
              <w:t>岗位风险津贴</w:t>
            </w:r>
            <w:r>
              <w:rPr>
                <w:rFonts w:hint="eastAsia" w:ascii="宋体" w:hAnsi="宋体" w:eastAsia="宋体"/>
                <w:color w:val="auto"/>
                <w:szCs w:val="21"/>
                <w:highlight w:val="none"/>
              </w:rPr>
              <w:t>，安检、保安岗位人员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921"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07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ind w:firstLine="421" w:firstLineChars="200"/>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ascii="楷体" w:hAnsi="楷体" w:eastAsia="楷体" w:cs="宋体"/>
          <w:b/>
          <w:bCs/>
          <w:color w:val="auto"/>
          <w:sz w:val="21"/>
          <w:szCs w:val="21"/>
          <w:highlight w:val="none"/>
        </w:rPr>
        <w:t>：</w:t>
      </w:r>
      <w:r>
        <w:rPr>
          <w:rFonts w:hint="eastAsia" w:ascii="楷体" w:hAnsi="楷体" w:eastAsia="楷体" w:cs="宋体"/>
          <w:bCs/>
          <w:color w:val="auto"/>
          <w:sz w:val="21"/>
          <w:szCs w:val="21"/>
          <w:highlight w:val="none"/>
        </w:rPr>
        <w:t>以上清单支出范围不宜列入交通运输企业安全生产费用，需要按原有费用渠道列支和管理。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18" w:name="_Toc152145214"/>
      <w:bookmarkStart w:id="19" w:name="_Toc147996028"/>
      <w:r>
        <w:rPr>
          <w:rFonts w:hint="eastAsia" w:ascii="黑体" w:hAnsi="黑体" w:eastAsia="黑体"/>
          <w:b w:val="0"/>
          <w:color w:val="auto"/>
          <w:highlight w:val="none"/>
        </w:rPr>
        <w:t>第七节  冶金企业</w:t>
      </w:r>
      <w:bookmarkEnd w:id="18"/>
      <w:bookmarkEnd w:id="19"/>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第二十六条</w:t>
      </w:r>
      <w:r>
        <w:rPr>
          <w:rFonts w:hint="eastAsia" w:ascii="仿宋_GB2312" w:hAnsi="宋体"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冶金是指黑色金属和有色金属冶炼及压延加工等生产活动。</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本条是适用办法的冶金行业的属性内涵。</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冶金企业和有色金属企业安全生产规定》（国家安全生产监督管理总局令第91号）第三条：“本规定所称冶金企业，是指从事黑色金属冶炼及压延加工业等生产活动的企业。本规定所称有色金属企业，是指从事有色金属冶炼及压延加工业等生产活动的企业”。本次修订了冶金行业属性定义，将原办法“冶金是指金属矿物的冶炼以及压延加工有关活动，包括：黑色金属、有色金属、黄金等的冶炼生产和加工处理活动，以及炭素、耐火材料等与主工艺流程配套的辅助工艺环节的生产”修订为“冶金是指黑色金属和有色金属冶炼及压延加工等生产活动”。</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第二十七条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冶金企业以上一年度营业收入为依据，采取超额累退方式确定本年度应计提金额，并逐月平均提取。具体如下：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（一）上一年度营业收入不超过1000万元的，按照3%提取；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（二）上一年度营业收入超过1000万元至1亿元的部分，按照1.5%提取；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（三）上一年度营业收入超过1亿元至10亿元的部分，按照0.5%提取；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（四）上一年度营业收入超过10亿元至50亿元的部分，按照0.2%提取；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（五）上一年度营业收入超过50亿元至100亿元的部分，按照0.1%提取；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（六）上一年度营业收入超过100亿元的部分，按照0.05%提取。</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本条是冶金企业安全生产费用的提取依据与标准。</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冶金企业安全生产费用计提依据与标准维持原办法规定不变。计提安全生产费用方法参考“第五节 危险品生产与储存企业”第二十一条的解读案例。</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第二十八条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冶金企业安全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备设施支出（不含“三同时”要求初期投入的安全设施），包括车间、站、库房等作业场所的监控、监测、防高温、防火、防爆、防坠落、防尘、防毒、防雷、防窒息、防触电、防噪声与振动、防辐射和隔离操作等设施设备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（四）安全生产检查、评估评价（不含新建、改建、扩建项目安全评价）和咨询及标准化建设支出；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（九）安全生产责任保险支出；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本条是冶金企业安全生产费用的使用范围。</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基于原办法第二十二条修订，扩大了冶金企业安全生产费用支出范围。冶金生产过程中既有生产工艺所决定的高热能、高势能危害，又有化工生产具有的有毒、易燃、易爆和高温高压危险，还有建筑、运输生产中容易发生的机械伤害、起重伤害、中毒窒息、火灾爆炸等危险性，特别是高温熔融金属冶炼生产过程中易发生的钢水、铁水喷溅爆炸、煤气中毒或爆炸等事故，易造成重大人员伤亡和财产损失，需针对冶金企业可能发生事故的环节和重点部位采取措施。本次修订在“完善、改造和维护安全防护设备设施支出”内容中，增加了防高温、防雷、防窒息、防触电等设施设备支出，此外增加了与其他行业同样新增的支出内容。</w:t>
      </w:r>
    </w:p>
    <w:p>
      <w:pPr>
        <w:keepNext w:val="0"/>
        <w:keepLines w:val="0"/>
        <w:pageBreakBefore w:val="0"/>
        <w:widowControl w:val="0"/>
        <w:kinsoku/>
        <w:wordWrap/>
        <w:overflowPunct/>
        <w:topLinePunct w:val="0"/>
        <w:bidi w:val="0"/>
        <w:spacing w:line="560" w:lineRule="exact"/>
        <w:jc w:val="center"/>
        <w:rPr>
          <w:rFonts w:ascii="仿宋" w:hAnsi="仿宋" w:eastAsia="仿宋"/>
          <w:color w:val="auto"/>
          <w:sz w:val="32"/>
          <w:szCs w:val="32"/>
          <w:highlight w:val="none"/>
        </w:rPr>
      </w:pPr>
      <w:r>
        <w:rPr>
          <w:rFonts w:hint="eastAsia" w:ascii="宋体" w:hAnsi="宋体" w:eastAsia="宋体"/>
          <w:b/>
          <w:color w:val="auto"/>
          <w:szCs w:val="21"/>
          <w:highlight w:val="none"/>
        </w:rPr>
        <w:t>冶金</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94"/>
        <w:gridCol w:w="7580"/>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9"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2．生产类</w:t>
            </w:r>
            <w:r>
              <w:rPr>
                <w:rFonts w:hint="eastAsia" w:ascii="宋体" w:hAnsi="宋体" w:eastAsia="宋体" w:cs="宋体"/>
                <w:color w:val="auto"/>
                <w:kern w:val="0"/>
                <w:szCs w:val="21"/>
                <w:highlight w:val="none"/>
              </w:rPr>
              <w:t>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（如</w:t>
            </w:r>
            <w:r>
              <w:rPr>
                <w:rFonts w:ascii="宋体" w:hAnsi="宋体" w:eastAsia="宋体" w:cs="宋体"/>
                <w:color w:val="auto"/>
                <w:kern w:val="0"/>
                <w:szCs w:val="21"/>
                <w:highlight w:val="none"/>
              </w:rPr>
              <w:t>金属冶炼、</w:t>
            </w:r>
            <w:r>
              <w:rPr>
                <w:rFonts w:hint="eastAsia" w:ascii="宋体" w:hAnsi="宋体" w:eastAsia="宋体" w:cs="宋体"/>
                <w:color w:val="auto"/>
                <w:kern w:val="0"/>
                <w:szCs w:val="21"/>
                <w:highlight w:val="none"/>
              </w:rPr>
              <w:t>压延</w:t>
            </w:r>
            <w:r>
              <w:rPr>
                <w:rFonts w:ascii="宋体" w:hAnsi="宋体" w:eastAsia="宋体" w:cs="宋体"/>
                <w:color w:val="auto"/>
                <w:kern w:val="0"/>
                <w:szCs w:val="21"/>
                <w:highlight w:val="none"/>
              </w:rPr>
              <w:t>、加工、保温、运输、吊运</w:t>
            </w:r>
            <w:r>
              <w:rPr>
                <w:rFonts w:hint="eastAsia" w:ascii="宋体" w:hAnsi="宋体" w:eastAsia="宋体" w:cs="宋体"/>
                <w:color w:val="auto"/>
                <w:kern w:val="0"/>
                <w:szCs w:val="21"/>
                <w:highlight w:val="none"/>
              </w:rPr>
              <w:t>等生产</w:t>
            </w:r>
            <w:r>
              <w:rPr>
                <w:rFonts w:ascii="宋体" w:hAnsi="宋体" w:eastAsia="宋体" w:cs="宋体"/>
                <w:color w:val="auto"/>
                <w:kern w:val="0"/>
                <w:szCs w:val="21"/>
                <w:highlight w:val="none"/>
              </w:rPr>
              <w:t>用设施设备</w:t>
            </w:r>
            <w:r>
              <w:rPr>
                <w:rFonts w:hint="eastAsia" w:ascii="宋体" w:hAnsi="宋体" w:eastAsia="宋体" w:cs="宋体"/>
                <w:color w:val="auto"/>
                <w:kern w:val="0"/>
                <w:szCs w:val="21"/>
                <w:highlight w:val="none"/>
              </w:rPr>
              <w:t>）</w:t>
            </w:r>
            <w:r>
              <w:rPr>
                <w:rFonts w:hint="eastAsia" w:ascii="宋体" w:hAnsi="宋体" w:eastAsia="宋体"/>
                <w:color w:val="auto"/>
                <w:szCs w:val="21"/>
                <w:highlight w:val="none"/>
              </w:rPr>
              <w:t>的</w:t>
            </w:r>
            <w:r>
              <w:rPr>
                <w:rFonts w:hint="eastAsia" w:ascii="宋体" w:hAnsi="宋体" w:eastAsia="宋体" w:cs="宋体"/>
                <w:color w:val="auto"/>
                <w:kern w:val="0"/>
                <w:szCs w:val="21"/>
                <w:highlight w:val="none"/>
              </w:rPr>
              <w:t>完善、</w:t>
            </w:r>
            <w:r>
              <w:rPr>
                <w:rFonts w:ascii="宋体" w:hAnsi="宋体" w:eastAsia="宋体" w:cs="宋体"/>
                <w:color w:val="auto"/>
                <w:kern w:val="0"/>
                <w:szCs w:val="21"/>
                <w:highlight w:val="none"/>
              </w:rPr>
              <w:t>改造和维护</w:t>
            </w:r>
            <w:r>
              <w:rPr>
                <w:rFonts w:hint="eastAsia" w:ascii="宋体" w:hAnsi="宋体" w:eastAsia="宋体" w:cs="宋体"/>
                <w:color w:val="auto"/>
                <w:kern w:val="0"/>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142"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25"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25"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安全检查、评估评价、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w:t>
            </w:r>
            <w:r>
              <w:rPr>
                <w:rFonts w:ascii="宋体" w:hAnsi="宋体" w:eastAsia="宋体"/>
                <w:color w:val="auto"/>
                <w:szCs w:val="21"/>
                <w:highlight w:val="none"/>
              </w:rPr>
              <w:t>非安全生产相关的</w:t>
            </w:r>
            <w:r>
              <w:rPr>
                <w:rFonts w:hint="eastAsia" w:ascii="宋体" w:hAnsi="宋体" w:eastAsia="宋体"/>
                <w:color w:val="auto"/>
                <w:szCs w:val="21"/>
                <w:highlight w:val="none"/>
              </w:rPr>
              <w:t>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1"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869"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color w:val="auto"/>
                <w:sz w:val="21"/>
                <w:szCs w:val="21"/>
                <w:highlight w:val="none"/>
              </w:rPr>
            </w:pPr>
            <w:r>
              <w:rPr>
                <w:rFonts w:hint="eastAsia" w:ascii="宋体" w:hAnsi="宋体" w:eastAsia="宋体" w:cstheme="minorBidi"/>
                <w:color w:val="auto"/>
                <w:kern w:val="2"/>
                <w:sz w:val="21"/>
                <w:szCs w:val="21"/>
                <w:highlight w:val="none"/>
              </w:rPr>
              <w:t>2.</w:t>
            </w:r>
            <w:r>
              <w:rPr>
                <w:rFonts w:ascii="宋体" w:hAnsi="宋体" w:eastAsia="宋体" w:cstheme="minorBidi"/>
                <w:color w:val="auto"/>
                <w:kern w:val="2"/>
                <w:sz w:val="21"/>
                <w:szCs w:val="21"/>
                <w:highlight w:val="none"/>
              </w:rPr>
              <w:t>特种设备</w:t>
            </w:r>
            <w:r>
              <w:rPr>
                <w:rFonts w:hint="eastAsia" w:ascii="宋体" w:hAnsi="宋体" w:eastAsia="宋体" w:cstheme="minorBidi"/>
                <w:color w:val="auto"/>
                <w:kern w:val="2"/>
                <w:sz w:val="21"/>
                <w:szCs w:val="21"/>
                <w:highlight w:val="none"/>
              </w:rPr>
              <w:t>（</w:t>
            </w:r>
            <w:r>
              <w:rPr>
                <w:rFonts w:ascii="宋体" w:hAnsi="宋体" w:eastAsia="宋体" w:cstheme="minorBidi"/>
                <w:color w:val="auto"/>
                <w:kern w:val="2"/>
                <w:sz w:val="21"/>
                <w:szCs w:val="21"/>
                <w:highlight w:val="none"/>
              </w:rPr>
              <w:t>比如叉车、行车等</w:t>
            </w:r>
            <w:r>
              <w:rPr>
                <w:rFonts w:hint="eastAsia" w:ascii="宋体" w:hAnsi="宋体" w:eastAsia="宋体" w:cstheme="minorBidi"/>
                <w:color w:val="auto"/>
                <w:kern w:val="2"/>
                <w:sz w:val="21"/>
                <w:szCs w:val="21"/>
                <w:highlight w:val="none"/>
              </w:rPr>
              <w:t>）</w:t>
            </w:r>
            <w:r>
              <w:rPr>
                <w:rFonts w:ascii="宋体" w:hAnsi="宋体" w:eastAsia="宋体" w:cstheme="minorBidi"/>
                <w:color w:val="auto"/>
                <w:kern w:val="2"/>
                <w:sz w:val="21"/>
                <w:szCs w:val="21"/>
                <w:highlight w:val="none"/>
              </w:rPr>
              <w:t>的维修费</w:t>
            </w:r>
            <w:r>
              <w:rPr>
                <w:rFonts w:hint="eastAsia" w:ascii="宋体" w:hAnsi="宋体" w:eastAsia="宋体" w:cstheme="minorBidi"/>
                <w:color w:val="auto"/>
                <w:kern w:val="2"/>
                <w:sz w:val="21"/>
                <w:szCs w:val="21"/>
                <w:highlight w:val="none"/>
              </w:rPr>
              <w:t>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法定安全生产责任保险之外的其他保险费用。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9"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1"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bCs/>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ind w:firstLine="421" w:firstLineChars="200"/>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hint="eastAsia" w:ascii="楷体" w:hAnsi="楷体" w:eastAsia="楷体" w:cs="宋体"/>
          <w:bCs/>
          <w:color w:val="auto"/>
          <w:sz w:val="21"/>
          <w:szCs w:val="21"/>
          <w:highlight w:val="none"/>
        </w:rPr>
        <w:t>以上清单支出范围不宜列入冶金企业安全生产费用，需要按原有费用渠道列支和管理。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20" w:name="_Toc152145215"/>
      <w:bookmarkStart w:id="21" w:name="_Toc147996029"/>
      <w:r>
        <w:rPr>
          <w:rFonts w:hint="eastAsia" w:ascii="黑体" w:hAnsi="黑体" w:eastAsia="黑体"/>
          <w:b w:val="0"/>
          <w:color w:val="auto"/>
          <w:highlight w:val="none"/>
        </w:rPr>
        <w:t>第八节  机械制造企业</w:t>
      </w:r>
      <w:bookmarkEnd w:id="20"/>
      <w:bookmarkEnd w:id="21"/>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第二十九条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机械制造是指各种动力机械、矿山机械、运输机械、农业机械、仪器、仪表、特种设备、大中型船舶、海洋工程装备、石油炼化装备、建筑施工机械及其他机械设备的制造活动。</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按照《国民经济行业分类与代码》（GB/T4754），本办法所称机械制造企业包括通用设备制造业，专用设备制造业，汽车制造业，铁路、船舶、航空航天和其他运输设备制造业（不含第十一节民用航空设备制造），电气机械和器材制造业，计算机、通信和其他电子设备制造业，仪器仪表制造业，金属制品、机械和设备修理业等8类企业。</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本条是适用办法的机械制造行业的属性内涵。</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原办法定义为：机械制造是指各种动力机械、冶金矿山机械、运输机械、农业机械、工具、仪器、仪表、特种设备、大中型船舶、石油炼化装备及其他机械设备的制造活动。基于矿山机械包括冶金矿山机械，海洋工程装备、建筑施工机械需要在机械范围予以明确，办法对机械制造的定义进行了修订，将“冶金矿山机械”修订为“矿山机械”，将海洋工程装备和建筑施工机械补充纳入机械制造范畴。实际执行中，定义第一款所涉机械制造企业应当按照办法规定计提安全生产费用，考虑到机械制造企业范围宽泛，部分机械制造企业在实操中无法认定的，按照《国民经济行业分类与代码》（GB/T4754）进行确认。</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第三十条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机械制造企业以上一年度营业收入为依据，采取超额累退方式确定本年度应计提金额，并逐月平均提取。具体如下：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（一）上一年度营业收入不超过1000万元的，按照2.35%提取；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（二）上一年度营业收入超过1000万元至1亿元的部分，按照1.25%提取；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（三）上一年度营业收入超过1亿元至10亿元的部分，按照0.25%提取；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（四）上一年度营业收入超过10亿元至50亿元的部分，按照0.1%提取；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（五）上一年度营业收入超过50亿元的部分，按照0.05%提取。</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本条是机械制造企业安全生产费用的计提依据与标准。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随着应急管理部不断深入推进“机械化换人、自动化减人”工作，鼓励企业加强机械化、自动化和智能化建设，鼓励新装备、新材料和新工艺等引进，机械制造企业安全生产投入不断加大。经对机械制造企业的典型调查和研究测算，本次修订提高了机械制造企业安全生产费用提取标准，即：上一年度营业收入不超过1000万元的、营业收入超过1000万元至1亿元的部分、营业收入超过1亿元至10亿元的部分，安全生产费用提取标准分别由原来的2%、1%、0.2%提至2.35%、1.25%、0.25%。</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计提安全生产费用方法参考“第五节 危险品生产与储存企业”第二十一条的解读案例。</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第三十一条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机械制造企业安全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支出（不含“三同时”要求初期投入的安全设施），包括生产作业场所的防火、防爆、防坠落、防毒、防静电、防腐、防尘、防噪声与振动、防辐射和隔离操作等设施设备支出，大型起重机械安装安全监控管理系统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（九）安全生产责任保险支出；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本条是机械制造企业安全生产费用的使用范围。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Fonts w:hint="eastAsia" w:ascii="仿宋_GB2312" w:hAnsi="仿宋" w:eastAsia="仿宋_GB2312" w:cs="宋体"/>
          <w:bCs/>
          <w:color w:val="auto"/>
          <w:kern w:val="0"/>
          <w:sz w:val="32"/>
          <w:szCs w:val="32"/>
          <w:highlight w:val="none"/>
        </w:rPr>
        <w:t>机械制造企业普遍人员密集、工艺流程复杂、设施设备多，且生产制造过程中存在大量的危险源和危害因素，安全风险较高。机械制造企业存在的危险主要有机械伤害、物体打击、起重伤害、灼烫、振动、噪声、粉尘等危害，需针对可能发生事故的环节和重点部位落实安全保障措施。本次修订将原办法第二十三条（一）</w:t>
      </w:r>
      <w:r>
        <w:rPr>
          <w:rStyle w:val="61"/>
          <w:rFonts w:hint="eastAsia" w:eastAsia="仿宋_GB2312"/>
          <w:color w:val="auto"/>
          <w:spacing w:val="0"/>
          <w:sz w:val="32"/>
          <w:szCs w:val="32"/>
          <w:lang w:val="en-US" w:eastAsia="zh-CN" w:bidi="ar"/>
        </w:rPr>
        <w:t>中的“防辐射或者隔离操作”修订为“防辐射和隔离操作”，表述更为严谨，避免造成二者只能选一的理解歧义。并在原办法使用范围基础上，增加了应急救援队伍建设、应急预案制修订、重大危险源检测、安全风险分级管控和事故隐患排查支出，安全生产信息化、智能化建设、运维和网络安全支出，安全生产评估、从业人员发现并报告事故隐患的奖励、安全设施及特种设备检定校准、安全生产责任保险支出内容。</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《安全生产责任保险实施办法》（安监总办〔2017〕140 号）在煤矿、非煤矿山、危险化学品、烟花爆竹、交通运输、建筑施工、民用爆炸物品、金属冶炼、渔业生产等高危行业领域强制实施，机械制造企业并未列入强制实施安全生产责任保险范围，考虑到未来安全发展需求，给机械制造行业预留支出口径。</w:t>
      </w:r>
    </w:p>
    <w:p>
      <w:pPr>
        <w:keepNext w:val="0"/>
        <w:keepLines w:val="0"/>
        <w:pageBreakBefore w:val="0"/>
        <w:widowControl w:val="0"/>
        <w:kinsoku/>
        <w:wordWrap/>
        <w:overflowPunct/>
        <w:topLinePunct w:val="0"/>
        <w:bidi w:val="0"/>
        <w:spacing w:line="560" w:lineRule="exact"/>
        <w:jc w:val="center"/>
        <w:rPr>
          <w:rFonts w:ascii="仿宋" w:hAnsi="仿宋" w:eastAsia="仿宋"/>
          <w:color w:val="auto"/>
          <w:sz w:val="32"/>
          <w:szCs w:val="32"/>
          <w:highlight w:val="none"/>
        </w:rPr>
      </w:pPr>
      <w:r>
        <w:rPr>
          <w:rFonts w:hint="eastAsia" w:ascii="宋体" w:hAnsi="宋体" w:eastAsia="宋体"/>
          <w:b/>
          <w:color w:val="auto"/>
          <w:szCs w:val="21"/>
          <w:highlight w:val="none"/>
        </w:rPr>
        <w:t>机械制造</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6"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1.按照“三同时”要求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2.生产类设施设备（如</w:t>
            </w:r>
            <w:r>
              <w:rPr>
                <w:rFonts w:ascii="宋体" w:hAnsi="宋体" w:eastAsia="宋体"/>
                <w:color w:val="auto"/>
                <w:szCs w:val="21"/>
                <w:highlight w:val="none"/>
              </w:rPr>
              <w:t>加工装备、</w:t>
            </w:r>
            <w:r>
              <w:rPr>
                <w:rFonts w:hint="eastAsia" w:ascii="宋体" w:hAnsi="宋体" w:eastAsia="宋体"/>
                <w:color w:val="auto"/>
                <w:szCs w:val="21"/>
                <w:highlight w:val="none"/>
              </w:rPr>
              <w:t>工艺</w:t>
            </w:r>
            <w:r>
              <w:rPr>
                <w:rFonts w:ascii="宋体" w:hAnsi="宋体" w:eastAsia="宋体"/>
                <w:color w:val="auto"/>
                <w:szCs w:val="21"/>
                <w:highlight w:val="none"/>
              </w:rPr>
              <w:t>装备</w:t>
            </w:r>
            <w:r>
              <w:rPr>
                <w:rFonts w:hint="eastAsia" w:ascii="宋体" w:hAnsi="宋体" w:eastAsia="宋体"/>
                <w:color w:val="auto"/>
                <w:szCs w:val="21"/>
                <w:highlight w:val="none"/>
              </w:rPr>
              <w:t>、</w:t>
            </w:r>
            <w:r>
              <w:rPr>
                <w:rFonts w:ascii="宋体" w:hAnsi="宋体" w:eastAsia="宋体"/>
                <w:color w:val="auto"/>
                <w:szCs w:val="21"/>
                <w:highlight w:val="none"/>
              </w:rPr>
              <w:t>仓储运输</w:t>
            </w:r>
            <w:r>
              <w:rPr>
                <w:rFonts w:hint="eastAsia" w:ascii="宋体" w:hAnsi="宋体" w:eastAsia="宋体"/>
                <w:color w:val="auto"/>
                <w:szCs w:val="21"/>
                <w:highlight w:val="none"/>
              </w:rPr>
              <w:t>装备、</w:t>
            </w:r>
            <w:r>
              <w:rPr>
                <w:rFonts w:ascii="宋体" w:hAnsi="宋体" w:eastAsia="宋体"/>
                <w:color w:val="auto"/>
                <w:szCs w:val="21"/>
                <w:highlight w:val="none"/>
              </w:rPr>
              <w:t>辅助</w:t>
            </w:r>
            <w:r>
              <w:rPr>
                <w:rFonts w:hint="eastAsia" w:ascii="宋体" w:hAnsi="宋体" w:eastAsia="宋体"/>
                <w:color w:val="auto"/>
                <w:szCs w:val="21"/>
                <w:highlight w:val="none"/>
              </w:rPr>
              <w:t>装备</w:t>
            </w:r>
            <w:r>
              <w:rPr>
                <w:rFonts w:ascii="宋体" w:hAnsi="宋体" w:eastAsia="宋体"/>
                <w:color w:val="auto"/>
                <w:szCs w:val="21"/>
                <w:highlight w:val="none"/>
              </w:rPr>
              <w:t>等</w:t>
            </w:r>
            <w:r>
              <w:rPr>
                <w:rFonts w:hint="eastAsia" w:ascii="宋体" w:hAnsi="宋体" w:eastAsia="宋体"/>
                <w:color w:val="auto"/>
                <w:szCs w:val="21"/>
                <w:highlight w:val="none"/>
              </w:rPr>
              <w:t>）及通用附件的</w:t>
            </w:r>
            <w:r>
              <w:rPr>
                <w:rFonts w:hint="eastAsia" w:ascii="宋体" w:hAnsi="宋体" w:eastAsia="宋体" w:cs="宋体"/>
                <w:color w:val="auto"/>
                <w:kern w:val="0"/>
                <w:szCs w:val="21"/>
                <w:highlight w:val="none"/>
              </w:rPr>
              <w:t>完善、</w:t>
            </w:r>
            <w:r>
              <w:rPr>
                <w:rFonts w:ascii="宋体" w:hAnsi="宋体" w:eastAsia="宋体" w:cs="宋体"/>
                <w:color w:val="auto"/>
                <w:kern w:val="0"/>
                <w:szCs w:val="21"/>
                <w:highlight w:val="none"/>
              </w:rPr>
              <w:t>改造和维护</w:t>
            </w:r>
            <w:r>
              <w:rPr>
                <w:rFonts w:hint="eastAsia" w:ascii="宋体" w:hAnsi="宋体" w:eastAsia="宋体" w:cs="宋体"/>
                <w:color w:val="auto"/>
                <w:kern w:val="0"/>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生产安全事故发生后的应急处置、现场清理、人员接待、伤害赔偿与补助、抚恤金、罚款等相关费用。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28"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29"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829"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1"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866" w:type="pct"/>
            <w:vMerge w:val="continue"/>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pStyle w:val="40"/>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theme="minorBidi"/>
                <w:color w:val="auto"/>
                <w:kern w:val="2"/>
                <w:sz w:val="21"/>
                <w:szCs w:val="21"/>
                <w:highlight w:val="none"/>
              </w:rPr>
            </w:pPr>
            <w:r>
              <w:rPr>
                <w:rFonts w:hint="eastAsia" w:ascii="宋体" w:hAnsi="宋体" w:eastAsia="宋体" w:cstheme="minorBidi"/>
                <w:color w:val="auto"/>
                <w:kern w:val="2"/>
                <w:sz w:val="21"/>
                <w:szCs w:val="21"/>
                <w:highlight w:val="none"/>
              </w:rPr>
              <w:t>2.</w:t>
            </w:r>
            <w:r>
              <w:rPr>
                <w:rFonts w:ascii="宋体" w:hAnsi="宋体" w:eastAsia="宋体" w:cstheme="minorBidi"/>
                <w:color w:val="auto"/>
                <w:kern w:val="2"/>
                <w:sz w:val="21"/>
                <w:szCs w:val="21"/>
                <w:highlight w:val="none"/>
              </w:rPr>
              <w:t>特种设备</w:t>
            </w:r>
            <w:r>
              <w:rPr>
                <w:rFonts w:hint="eastAsia" w:ascii="宋体" w:hAnsi="宋体" w:eastAsia="宋体" w:cstheme="minorBidi"/>
                <w:color w:val="auto"/>
                <w:kern w:val="2"/>
                <w:sz w:val="21"/>
                <w:szCs w:val="21"/>
                <w:highlight w:val="none"/>
              </w:rPr>
              <w:t>（</w:t>
            </w:r>
            <w:r>
              <w:rPr>
                <w:rFonts w:ascii="宋体" w:hAnsi="宋体" w:eastAsia="宋体" w:cstheme="minorBidi"/>
                <w:color w:val="auto"/>
                <w:kern w:val="2"/>
                <w:sz w:val="21"/>
                <w:szCs w:val="21"/>
                <w:highlight w:val="none"/>
              </w:rPr>
              <w:t>比如叉车、行车等</w:t>
            </w:r>
            <w:r>
              <w:rPr>
                <w:rFonts w:hint="eastAsia" w:ascii="宋体" w:hAnsi="宋体" w:eastAsia="宋体" w:cstheme="minorBidi"/>
                <w:color w:val="auto"/>
                <w:kern w:val="2"/>
                <w:sz w:val="21"/>
                <w:szCs w:val="21"/>
                <w:highlight w:val="none"/>
              </w:rPr>
              <w:t>）</w:t>
            </w:r>
            <w:r>
              <w:rPr>
                <w:rFonts w:ascii="宋体" w:hAnsi="宋体" w:eastAsia="宋体" w:cstheme="minorBidi"/>
                <w:color w:val="auto"/>
                <w:kern w:val="2"/>
                <w:sz w:val="21"/>
                <w:szCs w:val="21"/>
                <w:highlight w:val="none"/>
              </w:rPr>
              <w:t>的维修费</w:t>
            </w:r>
            <w:r>
              <w:rPr>
                <w:rFonts w:hint="eastAsia" w:ascii="宋体" w:hAnsi="宋体" w:eastAsia="宋体" w:cstheme="minorBidi"/>
                <w:color w:val="auto"/>
                <w:kern w:val="2"/>
                <w:sz w:val="21"/>
                <w:szCs w:val="21"/>
                <w:highlight w:val="none"/>
              </w:rPr>
              <w:t>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法定安全生产责任保险之外的其他保险费用。</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bidi w:val="0"/>
              <w:adjustRightInd/>
              <w:snapToGrid/>
              <w:spacing w:line="320" w:lineRule="exact"/>
              <w:textAlignment w:val="auto"/>
              <w:rPr>
                <w:rFonts w:ascii="宋体" w:hAnsi="宋体" w:eastAsia="宋体" w:cs="宋体"/>
                <w:bCs/>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hint="eastAsia" w:ascii="楷体" w:hAnsi="楷体" w:eastAsia="楷体" w:cs="宋体"/>
          <w:bCs/>
          <w:color w:val="auto"/>
          <w:sz w:val="21"/>
          <w:szCs w:val="21"/>
          <w:highlight w:val="none"/>
        </w:rPr>
        <w:t>：以上清单支出范围不宜列入机械制造企业安全生产费用，需要按原有费用渠道列支和管理。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22" w:name="_Toc152145216"/>
      <w:bookmarkStart w:id="23" w:name="_Toc147996030"/>
      <w:r>
        <w:rPr>
          <w:rFonts w:hint="eastAsia" w:ascii="黑体" w:hAnsi="黑体" w:eastAsia="黑体"/>
          <w:b w:val="0"/>
          <w:color w:val="auto"/>
          <w:highlight w:val="none"/>
        </w:rPr>
        <w:t>第九节  烟花爆竹生产企业</w:t>
      </w:r>
      <w:bookmarkEnd w:id="22"/>
      <w:bookmarkEnd w:id="23"/>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烟花爆竹是指烟花爆竹制品和用于生产烟花爆竹的民用黑火药、烟火药、引火线等物品。</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本条是适用办法的烟花爆竹生产行业的属性内涵。</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本次修订维持原办法烟花爆竹生产行业属性定义。</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第三十三条</w:t>
      </w:r>
      <w:r>
        <w:rPr>
          <w:rFonts w:hint="eastAsia" w:ascii="仿宋_GB2312" w:hAnsi="宋体"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烟花爆竹生产企业以上一年度营业收入为依据，采取超额累退方式确定本年度应计提金额，并逐月平均提取。具体如下：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（一）上一年度营业收入不超过1000万元的，按照4%提取；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（二）上一年度营业收入超过1000万元至2000万元的部分，按照3%提取；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（三）上一年度营业收入超过2000万元的部分，按照2.5%提取。</w:t>
      </w:r>
    </w:p>
    <w:p>
      <w:pPr>
        <w:keepNext w:val="0"/>
        <w:keepLines w:val="0"/>
        <w:pageBreakBefore w:val="0"/>
        <w:widowControl w:val="0"/>
        <w:kinsoku/>
        <w:wordWrap/>
        <w:overflowPunct/>
        <w:topLinePunct w:val="0"/>
        <w:bidi w:val="0"/>
        <w:spacing w:line="560" w:lineRule="exact"/>
        <w:ind w:firstLine="640" w:firstLineChars="200"/>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本条是烟花爆竹生产企业安全生产费用的提取依据与标准。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原办法烟花爆竹生产企业安全生产费用计提设置4个标准档次，即：营业收入不超过200万元的，按照3.5%提取；营业收入超过200万元至500万元的部分，按照3%提取；营业收入超过500万元至1000万元的部分，按照2.5%提取；营业收入超过1000万元的部分，按照2%提取。根据对湖南浏阳市、醴陵市部分烟花爆竹生产企业典型调查，本次修订调整了烟花爆竹生产企业安全生产费用计提档次与标准。即：上一年度营业收入不超过1000万元的、营业收入超过1000万元至2000万元的部分、营业收入超过2000万元的部分，安全生产费用分别按照4.0%、3%、2.5%提取。</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计提安全生产费用方法参考“第五节 危险品生产与储存企业”第二十一条的解读案例。</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第三十四条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烟花爆竹生产企业安全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设备设施支出（不含“三同时”要求初期投入的安全设施），包括作业场所的防火、防爆（含防护屏障）、防雷、防静电、防护围墙（网）与栏杆、防高温、防潮、防山体滑坡、监测、检测、监控等设施设备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（二）配备、维护、保养防爆机械电器设备支出；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（八）安全生产适用新技术、新标准、新工艺、新装备的推广应用支出；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（十）安全生产责任保险支出；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（十一）与安全生产直接相关的其他支出。</w:t>
      </w:r>
    </w:p>
    <w:p>
      <w:pPr>
        <w:keepNext w:val="0"/>
        <w:keepLines w:val="0"/>
        <w:pageBreakBefore w:val="0"/>
        <w:widowControl w:val="0"/>
        <w:kinsoku/>
        <w:wordWrap/>
        <w:overflowPunct/>
        <w:topLinePunct w:val="0"/>
        <w:bidi w:val="0"/>
        <w:spacing w:line="560" w:lineRule="exact"/>
        <w:ind w:firstLine="627" w:firstLineChars="196"/>
        <w:rPr>
          <w:rFonts w:ascii="仿宋" w:hAnsi="仿宋" w:eastAsia="仿宋_GB2312"/>
          <w:color w:val="auto"/>
          <w:sz w:val="32"/>
          <w:szCs w:val="32"/>
          <w:highlight w:val="none"/>
        </w:rPr>
      </w:pPr>
      <w:r>
        <w:rPr>
          <w:rFonts w:hint="eastAsia" w:ascii="仿宋"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本条是烟花爆竹生产企业安全生产费用的使用范围。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Cs/>
          <w:color w:val="auto"/>
          <w:kern w:val="0"/>
          <w:sz w:val="32"/>
          <w:szCs w:val="32"/>
          <w:highlight w:val="none"/>
        </w:rPr>
      </w:pPr>
      <w:r>
        <w:rPr>
          <w:rFonts w:hint="eastAsia" w:ascii="仿宋_GB2312" w:hAnsi="仿宋" w:eastAsia="仿宋_GB2312" w:cs="宋体"/>
          <w:bCs/>
          <w:color w:val="auto"/>
          <w:kern w:val="0"/>
          <w:sz w:val="32"/>
          <w:szCs w:val="32"/>
          <w:highlight w:val="none"/>
        </w:rPr>
        <w:t>《烟花爆竹生产经营安全规定》第十条：生产企业应当保证下列事项所需安全生产资金投入：（一）安全设备设施维修维护；（二）</w:t>
      </w:r>
      <w:r>
        <w:rPr>
          <w:rFonts w:ascii="仿宋_GB2312" w:hAnsi="仿宋" w:eastAsia="仿宋_GB2312" w:cs="宋体"/>
          <w:bCs/>
          <w:color w:val="auto"/>
          <w:kern w:val="0"/>
          <w:sz w:val="32"/>
          <w:szCs w:val="32"/>
          <w:highlight w:val="none"/>
        </w:rPr>
        <w:t>工(库)房按国家标准、行业标准规定的条件改造</w:t>
      </w:r>
      <w:r>
        <w:rPr>
          <w:rFonts w:hint="eastAsia" w:ascii="仿宋_GB2312" w:hAnsi="仿宋" w:eastAsia="仿宋_GB2312" w:cs="宋体"/>
          <w:bCs/>
          <w:color w:val="auto"/>
          <w:kern w:val="0"/>
          <w:sz w:val="32"/>
          <w:szCs w:val="32"/>
          <w:highlight w:val="none"/>
          <w:lang w:eastAsia="zh-CN"/>
        </w:rPr>
        <w:t>；</w:t>
      </w:r>
      <w:r>
        <w:rPr>
          <w:rFonts w:hint="eastAsia" w:ascii="仿宋_GB2312" w:hAnsi="仿宋" w:eastAsia="仿宋_GB2312" w:cs="宋体"/>
          <w:bCs/>
          <w:color w:val="auto"/>
          <w:kern w:val="0"/>
          <w:sz w:val="32"/>
          <w:szCs w:val="32"/>
          <w:highlight w:val="none"/>
        </w:rPr>
        <w:t>（三）</w:t>
      </w:r>
      <w:r>
        <w:rPr>
          <w:rFonts w:ascii="仿宋_GB2312" w:hAnsi="仿宋" w:eastAsia="仿宋_GB2312" w:cs="宋体"/>
          <w:bCs/>
          <w:color w:val="auto"/>
          <w:kern w:val="0"/>
          <w:sz w:val="32"/>
          <w:szCs w:val="32"/>
          <w:highlight w:val="none"/>
        </w:rPr>
        <w:t>重点部位和库房监控</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(四)安全风险管控与隐患排查治理</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(五)风险评估与安全评价</w:t>
      </w:r>
      <w:r>
        <w:rPr>
          <w:rFonts w:hint="eastAsia" w:ascii="仿宋_GB2312" w:hAnsi="仿宋" w:eastAsia="仿宋_GB2312" w:cs="宋体"/>
          <w:bCs/>
          <w:color w:val="auto"/>
          <w:kern w:val="0"/>
          <w:sz w:val="32"/>
          <w:szCs w:val="32"/>
          <w:highlight w:val="none"/>
          <w:lang w:eastAsia="zh-CN"/>
        </w:rPr>
        <w:t>；</w:t>
      </w:r>
      <w:r>
        <w:rPr>
          <w:rFonts w:hint="eastAsia" w:ascii="仿宋_GB2312" w:hAnsi="仿宋" w:eastAsia="仿宋_GB2312" w:cs="宋体"/>
          <w:bCs/>
          <w:color w:val="auto"/>
          <w:kern w:val="0"/>
          <w:sz w:val="32"/>
          <w:szCs w:val="32"/>
          <w:highlight w:val="none"/>
        </w:rPr>
        <w:t>（六）</w:t>
      </w:r>
      <w:r>
        <w:rPr>
          <w:rFonts w:ascii="仿宋_GB2312" w:hAnsi="仿宋" w:eastAsia="仿宋_GB2312" w:cs="宋体"/>
          <w:bCs/>
          <w:color w:val="auto"/>
          <w:kern w:val="0"/>
          <w:sz w:val="32"/>
          <w:szCs w:val="32"/>
          <w:highlight w:val="none"/>
        </w:rPr>
        <w:t>安全生产教育培训</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(七)劳动防护用品配备</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(八)应急救援器材和物资配备</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(九)应急救援训练及演练</w:t>
      </w:r>
      <w:r>
        <w:rPr>
          <w:rFonts w:hint="eastAsia" w:ascii="仿宋_GB2312" w:hAnsi="仿宋" w:eastAsia="仿宋_GB2312" w:cs="宋体"/>
          <w:bCs/>
          <w:color w:val="auto"/>
          <w:kern w:val="0"/>
          <w:sz w:val="32"/>
          <w:szCs w:val="32"/>
          <w:highlight w:val="none"/>
          <w:lang w:eastAsia="zh-CN"/>
        </w:rPr>
        <w:t>；</w:t>
      </w:r>
      <w:r>
        <w:rPr>
          <w:rFonts w:ascii="仿宋_GB2312" w:hAnsi="仿宋" w:eastAsia="仿宋_GB2312" w:cs="宋体"/>
          <w:bCs/>
          <w:color w:val="auto"/>
          <w:kern w:val="0"/>
          <w:sz w:val="32"/>
          <w:szCs w:val="32"/>
          <w:highlight w:val="none"/>
        </w:rPr>
        <w:t>(十)投保安全生产责任保险等其他需要投入资金的安全生产事项。第八条：生产企业应当积极推进烟花爆竹生产工艺技术进步，采用本质安全、性能可靠、自动化程度高的机械设备</w:t>
      </w:r>
      <w:r>
        <w:rPr>
          <w:rFonts w:hint="eastAsia" w:ascii="仿宋_GB2312" w:hAnsi="仿宋" w:eastAsia="仿宋_GB2312" w:cs="宋体"/>
          <w:bCs/>
          <w:color w:val="auto"/>
          <w:kern w:val="0"/>
          <w:sz w:val="32"/>
          <w:szCs w:val="32"/>
          <w:highlight w:val="none"/>
        </w:rPr>
        <w:t>和生产工艺，使用安全、环保的生产原材料。本条基于原办法第二十四条修订，对“完善、改造和维护安全设备设施支出（不含“三同时”要求初期投入的安全设施）”内容进一步细化，明确其包括作业场所的防火、防爆（含防护屏障）、防雷、防静电、防护围墙（网）与栏杆、防高温、防潮、防山体滑坡、监测、检测、监控等设施设备支出。此外，新增应急救援队伍建设、应急预案制修订、重大危险源检测、安全风险分级管控和事故隐患排查支出，安全生产信息化、智能化建设、运维和网络安全支出，安全生产评估、从业人员发现并报告事故隐患的奖励、安全设施及特种设备检定校准、安全生产责任保险支出内容。</w:t>
      </w:r>
    </w:p>
    <w:p>
      <w:pPr>
        <w:keepNext w:val="0"/>
        <w:keepLines w:val="0"/>
        <w:pageBreakBefore w:val="0"/>
        <w:widowControl w:val="0"/>
        <w:tabs>
          <w:tab w:val="left" w:pos="1418"/>
        </w:tabs>
        <w:kinsoku/>
        <w:wordWrap/>
        <w:overflowPunct/>
        <w:topLinePunct w:val="0"/>
        <w:bidi w:val="0"/>
        <w:spacing w:line="560" w:lineRule="exact"/>
        <w:ind w:firstLine="421" w:firstLineChars="200"/>
        <w:jc w:val="center"/>
        <w:rPr>
          <w:rFonts w:ascii="仿宋" w:hAnsi="仿宋" w:eastAsia="仿宋"/>
          <w:color w:val="auto"/>
          <w:sz w:val="32"/>
          <w:szCs w:val="32"/>
          <w:highlight w:val="none"/>
        </w:rPr>
      </w:pPr>
      <w:r>
        <w:rPr>
          <w:rFonts w:hint="eastAsia" w:ascii="宋体" w:hAnsi="宋体" w:eastAsia="宋体"/>
          <w:b/>
          <w:color w:val="auto"/>
          <w:szCs w:val="21"/>
          <w:highlight w:val="none"/>
        </w:rPr>
        <w:t>烟花爆竹生产</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支出负面清单</w:t>
      </w:r>
    </w:p>
    <w:tbl>
      <w:tblPr>
        <w:tblStyle w:val="24"/>
        <w:tblW w:w="8916" w:type="dxa"/>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45"/>
        <w:gridCol w:w="7371"/>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2.生产类装置及通用附件的</w:t>
            </w:r>
            <w:r>
              <w:rPr>
                <w:rFonts w:hint="eastAsia" w:ascii="宋体" w:hAnsi="宋体" w:eastAsia="宋体" w:cs="宋体"/>
                <w:color w:val="auto"/>
                <w:kern w:val="0"/>
                <w:szCs w:val="21"/>
                <w:highlight w:val="none"/>
              </w:rPr>
              <w:t>完善、</w:t>
            </w:r>
            <w:r>
              <w:rPr>
                <w:rFonts w:ascii="宋体" w:hAnsi="宋体" w:eastAsia="宋体" w:cs="宋体"/>
                <w:color w:val="auto"/>
                <w:kern w:val="0"/>
                <w:szCs w:val="21"/>
                <w:highlight w:val="none"/>
              </w:rPr>
              <w:t>改造和维护</w:t>
            </w:r>
            <w:r>
              <w:rPr>
                <w:rFonts w:hint="eastAsia" w:ascii="宋体" w:hAnsi="宋体" w:eastAsia="宋体" w:cs="宋体"/>
                <w:color w:val="auto"/>
                <w:kern w:val="0"/>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101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hint="eastAsia" w:ascii="宋体" w:hAnsi="宋体" w:eastAsia="宋体" w:cs="宋体"/>
                <w:color w:val="auto"/>
                <w:kern w:val="0"/>
                <w:szCs w:val="21"/>
                <w:highlight w:val="none"/>
              </w:rPr>
              <w:t>重大危险源</w:t>
            </w:r>
            <w:r>
              <w:rPr>
                <w:rFonts w:ascii="宋体" w:hAnsi="宋体" w:eastAsia="宋体" w:cs="宋体"/>
                <w:color w:val="auto"/>
                <w:kern w:val="0"/>
                <w:szCs w:val="21"/>
                <w:highlight w:val="none"/>
              </w:rPr>
              <w:t>检测、评估、监控，安全风险分级管控</w:t>
            </w:r>
            <w:r>
              <w:rPr>
                <w:rFonts w:hint="eastAsia" w:ascii="宋体" w:hAnsi="宋体" w:eastAsia="宋体" w:cs="宋体"/>
                <w:color w:val="auto"/>
                <w:kern w:val="0"/>
                <w:szCs w:val="21"/>
                <w:highlight w:val="none"/>
              </w:rPr>
              <w:t>和</w:t>
            </w:r>
            <w:r>
              <w:rPr>
                <w:rFonts w:ascii="宋体" w:hAnsi="宋体" w:eastAsia="宋体" w:cs="宋体"/>
                <w:color w:val="auto"/>
                <w:kern w:val="0"/>
                <w:szCs w:val="21"/>
                <w:highlight w:val="none"/>
              </w:rPr>
              <w:t>事故隐患排查整改</w:t>
            </w:r>
            <w:r>
              <w:rPr>
                <w:rFonts w:hint="eastAsia" w:ascii="宋体" w:hAnsi="宋体" w:eastAsia="宋体" w:cs="宋体"/>
                <w:color w:val="auto"/>
                <w:kern w:val="0"/>
                <w:szCs w:val="21"/>
                <w:highlight w:val="none"/>
              </w:rPr>
              <w:t>，</w:t>
            </w:r>
            <w:r>
              <w:rPr>
                <w:rFonts w:ascii="宋体" w:hAnsi="宋体" w:eastAsia="宋体" w:cs="宋体"/>
                <w:color w:val="auto"/>
                <w:kern w:val="0"/>
                <w:szCs w:val="21"/>
                <w:highlight w:val="none"/>
              </w:rPr>
              <w:t>安全</w:t>
            </w:r>
            <w:r>
              <w:rPr>
                <w:rFonts w:hint="eastAsia" w:ascii="宋体" w:hAnsi="宋体" w:eastAsia="宋体" w:cs="宋体"/>
                <w:color w:val="auto"/>
                <w:kern w:val="0"/>
                <w:szCs w:val="21"/>
                <w:highlight w:val="none"/>
              </w:rPr>
              <w:t>生产</w:t>
            </w:r>
            <w:r>
              <w:rPr>
                <w:rFonts w:ascii="宋体" w:hAnsi="宋体" w:eastAsia="宋体" w:cs="宋体"/>
                <w:color w:val="auto"/>
                <w:kern w:val="0"/>
                <w:szCs w:val="21"/>
                <w:highlight w:val="none"/>
              </w:rPr>
              <w:t>信息化建设</w:t>
            </w:r>
            <w:r>
              <w:rPr>
                <w:rFonts w:hint="eastAsia" w:ascii="宋体" w:hAnsi="宋体" w:eastAsia="宋体" w:cs="宋体"/>
                <w:color w:val="auto"/>
                <w:kern w:val="0"/>
                <w:szCs w:val="21"/>
                <w:highlight w:val="none"/>
              </w:rPr>
              <w:t>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101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隐患项目治理过程中环保、职业病防护设施“三同时”支出；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42"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w:t>
            </w:r>
            <w:r>
              <w:rPr>
                <w:rFonts w:ascii="宋体" w:hAnsi="宋体" w:eastAsia="宋体"/>
                <w:color w:val="auto"/>
                <w:szCs w:val="21"/>
                <w:highlight w:val="none"/>
              </w:rPr>
              <w:t>非安全生产相关的</w:t>
            </w:r>
            <w:r>
              <w:rPr>
                <w:rFonts w:hint="eastAsia" w:ascii="宋体" w:hAnsi="宋体" w:eastAsia="宋体"/>
                <w:color w:val="auto"/>
                <w:szCs w:val="21"/>
                <w:highlight w:val="none"/>
              </w:rPr>
              <w:t>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w:t>
            </w:r>
            <w:r>
              <w:rPr>
                <w:rFonts w:ascii="宋体" w:hAnsi="宋体" w:eastAsia="宋体"/>
                <w:color w:val="auto"/>
                <w:szCs w:val="21"/>
                <w:highlight w:val="none"/>
              </w:rPr>
              <w:t>安全生产责任保险</w:t>
            </w:r>
            <w:r>
              <w:rPr>
                <w:rFonts w:hint="eastAsia" w:ascii="宋体" w:hAnsi="宋体" w:eastAsia="宋体"/>
                <w:color w:val="auto"/>
                <w:szCs w:val="21"/>
                <w:highlight w:val="none"/>
              </w:rPr>
              <w:t>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ind w:firstLine="421" w:firstLineChars="200"/>
        <w:jc w:val="both"/>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hint="eastAsia" w:ascii="楷体" w:hAnsi="楷体" w:eastAsia="楷体" w:cs="宋体"/>
          <w:bCs/>
          <w:color w:val="auto"/>
          <w:sz w:val="21"/>
          <w:szCs w:val="21"/>
          <w:highlight w:val="none"/>
        </w:rPr>
        <w:t>以上清单支出范围不宜列入烟花爆竹生产企业安全生产费用，需要按原有费用渠道列支和管理。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24" w:name="_Toc147996031"/>
      <w:bookmarkStart w:id="25" w:name="_Toc152145217"/>
      <w:r>
        <w:rPr>
          <w:rFonts w:hint="eastAsia" w:ascii="黑体" w:hAnsi="黑体" w:eastAsia="黑体"/>
          <w:b w:val="0"/>
          <w:color w:val="auto"/>
          <w:highlight w:val="none"/>
        </w:rPr>
        <w:t>第十节  民用爆炸物品生产企业</w:t>
      </w:r>
      <w:bookmarkEnd w:id="24"/>
      <w:bookmarkEnd w:id="25"/>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第三十五条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民用爆炸物品是指列入《民用爆炸物品品名表》的物品。</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本条是适用民用爆炸物品生产行业的属性内涵。</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民用爆炸物品为本次修订新增行业。民用爆炸物品生产企业主要生产工业炸药、工业雷管等民用爆破器材，由于产品性质的特殊及生产过程的危险性，生产活动中易发生爆炸事故，属于高危行业，本次修订将其纳入适用范围。</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第三十六条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民用爆炸物品生产企业以上一年度营业收入为依据，采取超额累退方式确定本年度应计提金额，并逐月平均提取。具体如下：</w:t>
      </w:r>
    </w:p>
    <w:p>
      <w:pPr>
        <w:keepNext w:val="0"/>
        <w:keepLines w:val="0"/>
        <w:pageBreakBefore w:val="0"/>
        <w:widowControl w:val="0"/>
        <w:kinsoku/>
        <w:wordWrap/>
        <w:overflowPunct/>
        <w:topLinePunct w:val="0"/>
        <w:bidi w:val="0"/>
        <w:spacing w:line="560" w:lineRule="exact"/>
        <w:ind w:firstLine="72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（一）上一年度营业收入不超过1000万元的，按照4%提取；</w:t>
      </w:r>
    </w:p>
    <w:p>
      <w:pPr>
        <w:keepNext w:val="0"/>
        <w:keepLines w:val="0"/>
        <w:pageBreakBefore w:val="0"/>
        <w:widowControl w:val="0"/>
        <w:kinsoku/>
        <w:wordWrap/>
        <w:overflowPunct/>
        <w:topLinePunct w:val="0"/>
        <w:bidi w:val="0"/>
        <w:spacing w:line="560" w:lineRule="exact"/>
        <w:ind w:firstLine="72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（二）上一年度营业收入超过1000万元至1亿元的部分，按照2%提取；</w:t>
      </w:r>
    </w:p>
    <w:p>
      <w:pPr>
        <w:keepNext w:val="0"/>
        <w:keepLines w:val="0"/>
        <w:pageBreakBefore w:val="0"/>
        <w:widowControl w:val="0"/>
        <w:kinsoku/>
        <w:wordWrap/>
        <w:overflowPunct/>
        <w:topLinePunct w:val="0"/>
        <w:bidi w:val="0"/>
        <w:spacing w:line="560" w:lineRule="exact"/>
        <w:ind w:firstLine="72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（三）上一年度营业收入超过1亿元至10亿元的部分，按照0.5%提取；</w:t>
      </w:r>
    </w:p>
    <w:p>
      <w:pPr>
        <w:keepNext w:val="0"/>
        <w:keepLines w:val="0"/>
        <w:pageBreakBefore w:val="0"/>
        <w:widowControl w:val="0"/>
        <w:kinsoku/>
        <w:wordWrap/>
        <w:overflowPunct/>
        <w:topLinePunct w:val="0"/>
        <w:bidi w:val="0"/>
        <w:spacing w:line="560" w:lineRule="exact"/>
        <w:ind w:firstLine="72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（四）上一年度营业收入超过10亿元的部分，按照0.2%提取。</w:t>
      </w:r>
    </w:p>
    <w:p>
      <w:pPr>
        <w:keepNext w:val="0"/>
        <w:keepLines w:val="0"/>
        <w:pageBreakBefore w:val="0"/>
        <w:widowControl w:val="0"/>
        <w:kinsoku/>
        <w:wordWrap/>
        <w:overflowPunct/>
        <w:topLinePunct w:val="0"/>
        <w:bidi w:val="0"/>
        <w:spacing w:line="560" w:lineRule="exact"/>
        <w:ind w:firstLine="720"/>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本条是民用爆炸物品生产企业安全生产费用的提取依据与标准。</w:t>
      </w:r>
    </w:p>
    <w:p>
      <w:pPr>
        <w:keepNext w:val="0"/>
        <w:keepLines w:val="0"/>
        <w:pageBreakBefore w:val="0"/>
        <w:widowControl w:val="0"/>
        <w:kinsoku/>
        <w:wordWrap/>
        <w:overflowPunct/>
        <w:topLinePunct w:val="0"/>
        <w:bidi w:val="0"/>
        <w:spacing w:line="560" w:lineRule="exact"/>
        <w:ind w:firstLine="72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民用爆炸物品生产企业安全生产费用提取标准是以上一年度营业收入作为计提基数，按照超额累退计算提取率的方法，并规定按全年提取总额平均到每月提取。一方面符合民用爆炸物品企业生产经营的实际情况，增强企业安全生产费用使用计划性；另一方面便于实际操作，利于与会计核算等国家有关政策配合落实。民用爆炸物品生产企业安全生产费用提取标准的确定，主要根据工业和信息化部的测算依据与意见。</w:t>
      </w:r>
    </w:p>
    <w:p>
      <w:pPr>
        <w:keepNext w:val="0"/>
        <w:keepLines w:val="0"/>
        <w:pageBreakBefore w:val="0"/>
        <w:widowControl w:val="0"/>
        <w:kinsoku/>
        <w:wordWrap/>
        <w:overflowPunct/>
        <w:topLinePunct w:val="0"/>
        <w:bidi w:val="0"/>
        <w:spacing w:line="560" w:lineRule="exact"/>
        <w:ind w:firstLine="72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第三十七条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民用爆炸物品生产企业安全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不含“三同时”要求初期投入的安全设施），包括车间、库房、罐区等作业场所的监控、监测、通风、防晒、调温、防火、灭火、防爆、泄压、防毒、消毒、中和、防潮、防雷、防静电、防腐、防渗漏、防护屏障、隔离操作等设施设备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（二）配备、维护、保养应急救援器材、设备支出和应急救援队伍建设、应急预案制修订与应急演练支出；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（五）配备和更新现场作业人员安全防护用品支出；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（七）安全生产适用的新技术、新标准、新工艺、新设备的推广应用支出；</w:t>
      </w:r>
    </w:p>
    <w:p>
      <w:pPr>
        <w:keepNext w:val="0"/>
        <w:keepLines w:val="0"/>
        <w:pageBreakBefore w:val="0"/>
        <w:widowControl w:val="0"/>
        <w:kinsoku/>
        <w:wordWrap/>
        <w:overflowPunct/>
        <w:topLinePunct w:val="0"/>
        <w:bidi w:val="0"/>
        <w:spacing w:line="560" w:lineRule="exact"/>
        <w:ind w:firstLine="629" w:firstLineChars="196"/>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（八）安全设施及特种设备检测检验、检定校准支出；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（九）安全生产责任保险支出；</w:t>
      </w:r>
    </w:p>
    <w:p>
      <w:pPr>
        <w:keepNext w:val="0"/>
        <w:keepLines w:val="0"/>
        <w:pageBreakBefore w:val="0"/>
        <w:widowControl w:val="0"/>
        <w:kinsoku/>
        <w:wordWrap/>
        <w:overflowPunct/>
        <w:topLinePunct w:val="0"/>
        <w:bidi w:val="0"/>
        <w:spacing w:line="560" w:lineRule="exact"/>
        <w:ind w:firstLine="629" w:firstLineChars="19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（十）与安全生产直接相关的其他支出。</w:t>
      </w:r>
    </w:p>
    <w:p>
      <w:pPr>
        <w:keepNext w:val="0"/>
        <w:keepLines w:val="0"/>
        <w:pageBreakBefore w:val="0"/>
        <w:widowControl w:val="0"/>
        <w:kinsoku/>
        <w:wordWrap/>
        <w:overflowPunct/>
        <w:topLinePunct w:val="0"/>
        <w:bidi w:val="0"/>
        <w:spacing w:line="560" w:lineRule="exact"/>
        <w:ind w:firstLine="627" w:firstLineChars="196"/>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本条是民用爆炸物品生产企业安全生产费用的使用范围。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根据民用爆炸物品生产企业的实际情况，办法明确了安全生产费用十个方面具体使用范围。其中，对于企业投产时按照“三同时”要求初期投入的安全设施、新建、改建、扩建项目安全评价，则不在提取的安全生产费用中列支。另外，民用爆炸物品生产企业更换到期0类、I类和Ⅱ类专用设备、厂区外部最小安全距离维护等费用不宜列入安全生产费用使用范围。</w:t>
      </w:r>
    </w:p>
    <w:p>
      <w:pPr>
        <w:keepNext w:val="0"/>
        <w:keepLines w:val="0"/>
        <w:pageBreakBefore w:val="0"/>
        <w:widowControl w:val="0"/>
        <w:tabs>
          <w:tab w:val="left" w:pos="1418"/>
        </w:tabs>
        <w:kinsoku/>
        <w:wordWrap/>
        <w:overflowPunct/>
        <w:topLinePunct w:val="0"/>
        <w:bidi w:val="0"/>
        <w:spacing w:line="560" w:lineRule="exact"/>
        <w:ind w:firstLine="421" w:firstLineChars="200"/>
        <w:jc w:val="center"/>
        <w:rPr>
          <w:rFonts w:ascii="仿宋" w:hAnsi="仿宋" w:eastAsia="仿宋" w:cs="宋体"/>
          <w:bCs/>
          <w:color w:val="auto"/>
          <w:kern w:val="0"/>
          <w:sz w:val="32"/>
          <w:szCs w:val="32"/>
          <w:highlight w:val="none"/>
        </w:rPr>
      </w:pPr>
      <w:r>
        <w:rPr>
          <w:rFonts w:hint="eastAsia" w:ascii="宋体" w:hAnsi="宋体" w:eastAsia="宋体"/>
          <w:b/>
          <w:color w:val="auto"/>
          <w:szCs w:val="21"/>
          <w:highlight w:val="none"/>
        </w:rPr>
        <w:t>民用爆炸</w:t>
      </w:r>
      <w:r>
        <w:rPr>
          <w:rFonts w:ascii="宋体" w:hAnsi="宋体" w:eastAsia="宋体"/>
          <w:b/>
          <w:color w:val="auto"/>
          <w:szCs w:val="21"/>
          <w:highlight w:val="none"/>
        </w:rPr>
        <w:t>物品</w:t>
      </w:r>
      <w:r>
        <w:rPr>
          <w:rFonts w:hint="eastAsia" w:ascii="宋体" w:hAnsi="宋体" w:eastAsia="宋体"/>
          <w:b/>
          <w:color w:val="auto"/>
          <w:szCs w:val="21"/>
          <w:highlight w:val="none"/>
        </w:rPr>
        <w:t>生产</w:t>
      </w:r>
      <w:r>
        <w:rPr>
          <w:rFonts w:ascii="宋体" w:hAnsi="宋体" w:eastAsia="宋体"/>
          <w:b/>
          <w:color w:val="auto"/>
          <w:szCs w:val="21"/>
          <w:highlight w:val="none"/>
        </w:rPr>
        <w:t>企业安全生产费用</w:t>
      </w:r>
      <w:r>
        <w:rPr>
          <w:rFonts w:hint="eastAsia" w:ascii="宋体" w:hAnsi="宋体" w:eastAsia="宋体"/>
          <w:b/>
          <w:color w:val="auto"/>
          <w:szCs w:val="21"/>
          <w:highlight w:val="none"/>
        </w:rPr>
        <w:t>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tblHeader/>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2.民用爆炸物品生产企业更换到期0类、I类和Ⅱ类专用设备支出；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.生产类装置及通用附件的完善、</w:t>
            </w:r>
            <w:r>
              <w:rPr>
                <w:rFonts w:ascii="宋体" w:hAnsi="宋体" w:eastAsia="宋体"/>
                <w:color w:val="auto"/>
                <w:szCs w:val="21"/>
                <w:highlight w:val="none"/>
              </w:rPr>
              <w:t>改造和维护</w:t>
            </w:r>
            <w:r>
              <w:rPr>
                <w:rFonts w:hint="eastAsia" w:ascii="宋体" w:hAnsi="宋体" w:eastAsia="宋体"/>
                <w:color w:val="auto"/>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56"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56"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2.危险废弃物</w:t>
            </w:r>
            <w:r>
              <w:rPr>
                <w:rFonts w:ascii="宋体" w:hAnsi="宋体" w:eastAsia="宋体"/>
                <w:color w:val="auto"/>
                <w:szCs w:val="21"/>
                <w:highlight w:val="none"/>
              </w:rPr>
              <w:t xml:space="preserve">处置费用；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56"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隐患项目治理过程中环保治理、职业病防护设施“三同时”支出；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55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参加非安全生产相关的岗前培训费、考试费、办证费等费用。</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“四新”（新技术、新标准、新工艺、新设备）的研究、开发等前期费用。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生产</w:t>
            </w:r>
            <w:r>
              <w:rPr>
                <w:rFonts w:ascii="宋体" w:hAnsi="宋体" w:eastAsia="宋体"/>
                <w:color w:val="auto"/>
                <w:szCs w:val="21"/>
                <w:highlight w:val="none"/>
              </w:rPr>
              <w:t>设施、</w:t>
            </w:r>
            <w:r>
              <w:rPr>
                <w:rFonts w:hint="eastAsia" w:ascii="宋体" w:hAnsi="宋体" w:eastAsia="宋体"/>
                <w:color w:val="auto"/>
                <w:szCs w:val="21"/>
                <w:highlight w:val="none"/>
              </w:rPr>
              <w:t>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w:t>
            </w:r>
            <w:r>
              <w:rPr>
                <w:rFonts w:ascii="宋体" w:hAnsi="宋体" w:eastAsia="宋体"/>
                <w:color w:val="auto"/>
                <w:szCs w:val="21"/>
                <w:highlight w:val="none"/>
              </w:rPr>
              <w:t>安全生产责任保险</w:t>
            </w:r>
            <w:r>
              <w:rPr>
                <w:rFonts w:hint="eastAsia" w:ascii="宋体" w:hAnsi="宋体" w:eastAsia="宋体"/>
                <w:color w:val="auto"/>
                <w:szCs w:val="21"/>
                <w:highlight w:val="none"/>
              </w:rPr>
              <w:t>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4.购建爆炸品库支出；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97"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5.</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ind w:firstLine="421" w:firstLineChars="200"/>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hint="eastAsia" w:ascii="楷体" w:hAnsi="楷体" w:eastAsia="楷体" w:cs="宋体"/>
          <w:bCs/>
          <w:color w:val="auto"/>
          <w:sz w:val="21"/>
          <w:szCs w:val="21"/>
          <w:highlight w:val="none"/>
        </w:rPr>
        <w:t>以上清单支出范围不宜列入民用爆炸物品生产企业安全生产费用，需要按原有费用渠道列支和管理。</w:t>
      </w:r>
    </w:p>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26" w:name="_Toc152145218"/>
      <w:bookmarkStart w:id="27" w:name="_Toc147996032"/>
      <w:bookmarkStart w:id="28" w:name="_Hlk145327296"/>
      <w:r>
        <w:rPr>
          <w:rFonts w:hint="eastAsia" w:ascii="黑体" w:hAnsi="黑体" w:eastAsia="黑体"/>
          <w:b w:val="0"/>
          <w:color w:val="auto"/>
          <w:highlight w:val="none"/>
        </w:rPr>
        <w:t>第十一节  武器装备研制生产与试验企业</w:t>
      </w:r>
      <w:bookmarkEnd w:id="26"/>
      <w:bookmarkEnd w:id="27"/>
    </w:p>
    <w:p>
      <w:pPr>
        <w:keepNext w:val="0"/>
        <w:keepLines w:val="0"/>
        <w:pageBreakBefore w:val="0"/>
        <w:widowControl w:val="0"/>
        <w:kinsoku/>
        <w:wordWrap/>
        <w:overflowPunct/>
        <w:topLinePunct w:val="0"/>
        <w:bidi w:val="0"/>
        <w:spacing w:line="560" w:lineRule="exact"/>
        <w:ind w:firstLine="72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第三十八条</w:t>
      </w:r>
      <w:r>
        <w:rPr>
          <w:rFonts w:hint="eastAsia" w:ascii="仿宋_GB2312" w:hAnsi="仿宋" w:eastAsia="仿宋_GB2312" w:cs="宋体"/>
          <w:b/>
          <w:color w:val="auto"/>
          <w:kern w:val="0"/>
          <w:sz w:val="32"/>
          <w:szCs w:val="32"/>
          <w:highlight w:val="none"/>
        </w:rPr>
        <w:t xml:space="preserve"> 武器装备研制生产与试验，包括武器装备和军工危险化学品的科研、生产、试验、储运、销毁、维修保障等。</w:t>
      </w:r>
    </w:p>
    <w:p>
      <w:pPr>
        <w:keepNext w:val="0"/>
        <w:keepLines w:val="0"/>
        <w:pageBreakBefore w:val="0"/>
        <w:widowControl w:val="0"/>
        <w:kinsoku/>
        <w:wordWrap/>
        <w:overflowPunct/>
        <w:topLinePunct w:val="0"/>
        <w:bidi w:val="0"/>
        <w:spacing w:line="560" w:lineRule="exact"/>
        <w:ind w:firstLine="720"/>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本条是适用办法的武器装备研制生产与试验行业的属性内涵。</w:t>
      </w:r>
    </w:p>
    <w:p>
      <w:pPr>
        <w:keepNext w:val="0"/>
        <w:keepLines w:val="0"/>
        <w:pageBreakBefore w:val="0"/>
        <w:widowControl w:val="0"/>
        <w:kinsoku/>
        <w:wordWrap/>
        <w:overflowPunct/>
        <w:topLinePunct w:val="0"/>
        <w:bidi w:val="0"/>
        <w:spacing w:line="560" w:lineRule="exact"/>
        <w:ind w:firstLine="72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考虑到2017年国家国防科工局印发的《军工危险化学品安全管理暂行办法》对火炸药及其制品重新进行了定义，本次修订进一步完善了武器装备研制生产与试验行业属性内涵，将原办法“武器装备研制生产与试验，包括武器装备和弹药的科研、生产、试验、储运、销毁、维修保障等”修订为“武器装备研制生产与试验，包括武器装备和军工危险化学品的科研、生产、试验、储运、销毁、维修保障等”。军工危险化学品是指军工单位研制或用于武器装备科研生产的，具有爆炸、燃烧、助燃、毒害、腐蚀等性质，对人体、设施、环境具有危害的火炸药、推进剂、弹药（含战斗部、引信、火工品）、火箭导弹发动机、燃气发生器等产品及中间品。</w:t>
      </w:r>
    </w:p>
    <w:p>
      <w:pPr>
        <w:keepNext w:val="0"/>
        <w:keepLines w:val="0"/>
        <w:pageBreakBefore w:val="0"/>
        <w:widowControl w:val="0"/>
        <w:kinsoku/>
        <w:wordWrap/>
        <w:overflowPunct/>
        <w:topLinePunct w:val="0"/>
        <w:bidi w:val="0"/>
        <w:spacing w:line="560" w:lineRule="exact"/>
        <w:ind w:firstLine="72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第三十九条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武器装备研制生产与试验企业以上一年度军品营业收入为依据，采取超额累退方式确定本年度应计提金额，并逐月平均提取。</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（一）军工危险化学品研制、生产与试验企业，包括火炸药、推进剂、弹药（含战斗部、引信、火工品）、火箭导弹发动机、燃气发生器等，提取标准如下：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2.上一年度营业收入超过1000万元至1亿元的部分，按照3%提取；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3.上一年度营业收入超过1亿元至10亿元的部分，按照1%提取；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4.上一年度营业收入超过10亿元的部分，按照0.5%提取。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（二）核装备及核燃料研制、生产与试验企业，提取标准如下：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1.上一年度营业收入不超过1000万元的，按照3%提取；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2.上一年度营业收入超过1000万元至1亿元的部分，按照2%提取；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3.上一年度营业收入超过1亿元至10亿元的部分，按照0.5%提取；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4.上一年度营业收入超过10亿元的部分，按照0.2%提取。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（三）军用舰船（含修理）研制、生产与试验企业，提取标准如下：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1.上一年度营业收入不超过1000万元的，按照2.5%提取；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2.上一年度营业收入超过1000万元至1亿元的部分，按照1.75%提取；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3.上一年度营业收入超过1亿元至10亿元的部分，按照0.8%提取；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4.上一年度营业收入超过10亿元的部分，按照0.4%提取。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（四）飞船、卫星、军用飞机、坦克车辆、火炮、轻武器、大型天线等产品的总体、部分和元器件研制、生产与试验企业，提取标准如下：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1.上一年度营业收入不超过1000万元的，按照2%提取；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2.上一年度营业收入超过1000万元至1亿元的部分，按照1.5%提取；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3.上一年度营业收入超过1亿元至10亿元的部分，按照0.5%提取；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4.上一年度营业收入超过10亿元至100亿元的部分，按照0.2%提取；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5.上一年度营业收入超过100亿元的部分，按照0.1%提取。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（五）其他军用危险品研制、生产与试验企业，提取标准如下：</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1.上一年度营业收入不超过1000万元的，按照4%提取；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2.上一年度营业收入超过1000万元至1亿元的部分，按照2%提取；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3.上一年度营业收入超过1亿元至10亿元的部分，按照0.5%提取；</w:t>
      </w:r>
    </w:p>
    <w:p>
      <w:pPr>
        <w:keepNext w:val="0"/>
        <w:keepLines w:val="0"/>
        <w:pageBreakBefore w:val="0"/>
        <w:widowControl w:val="0"/>
        <w:tabs>
          <w:tab w:val="left" w:pos="1418"/>
        </w:tabs>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4.上一年度营业收入超过10亿元的部分，按照0.2%提取。</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本条是武器装备研制生产与试验企业安全生产费用的提取依据与标准。</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Fonts w:hint="eastAsia" w:ascii="仿宋_GB2312" w:hAnsi="楷体" w:eastAsia="仿宋_GB2312" w:cs="宋体"/>
          <w:color w:val="auto"/>
          <w:kern w:val="0"/>
          <w:sz w:val="32"/>
          <w:szCs w:val="32"/>
          <w:highlight w:val="none"/>
        </w:rPr>
        <w:t>本条基于原办法第十三条修订。根据国家国防科工局的意见</w:t>
      </w:r>
      <w:r>
        <w:rPr>
          <w:rStyle w:val="61"/>
          <w:rFonts w:hint="eastAsia" w:eastAsia="仿宋_GB2312"/>
          <w:color w:val="auto"/>
          <w:spacing w:val="0"/>
          <w:sz w:val="32"/>
          <w:szCs w:val="32"/>
          <w:lang w:val="en-US" w:eastAsia="zh-CN" w:bidi="ar"/>
        </w:rPr>
        <w:t>与测算依据，武器装备研制生产与试验企业安全生产费用以上一年度军品营业收入为依据，按照超额累退方式计提，划分5类企业提取标准。与原办法相比，5个分类标准维持不变。本次主要对武器装备研制生产与试验企业分类进行了修订：基于国家国防科工局对火炸药及其制品重新定义，将第一款“火炸药及其制品研制、生产与试验企业（包括：含能材料，炸药、火药、推进剂，发动机，弹箭，引信、火工品等）”修订为“军工危险化学品研制、生产与试验企业，包括：火炸药、推进剂、弹药（含战斗部、引信、火工品）、火箭导弹发动机、燃气发生器等”；基于计提依据的不同，将原第二款“核装备及核燃料研制、生产与试验企业”的核工程单列至第四十条。</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第四十条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核</w:t>
      </w:r>
      <w:r>
        <w:rPr>
          <w:rStyle w:val="61"/>
          <w:rFonts w:hint="eastAsia" w:eastAsia="仿宋_GB2312"/>
          <w:b/>
          <w:bCs/>
          <w:color w:val="auto"/>
          <w:spacing w:val="0"/>
          <w:sz w:val="32"/>
          <w:szCs w:val="32"/>
          <w:lang w:val="en-US" w:eastAsia="zh-CN" w:bidi="ar"/>
        </w:rPr>
        <w:t>工程按照工程造价3%提取企业安全生产费用。企业安全生产费用在竞标时列为标外管理。</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本条是武器装备研制生产与试验行业中核工程安全生产费用的提取依据与标准。</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核工程原属于第三十九条（二）“核装备及核燃料研制、生产与试验企业”，基于核工程安全生产费用以工程造价为计提依据，区别于年度营业收入计提方式，本次修订将核工程安全生产费用的计提进行单列。</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第四十一条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武器装备研制生产与试验企业安全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费用应当用于以下支出：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完善、改造和维护安全防护设施设备支出（不含“三同时”要求初期投入的安全设施），包括研究室、车间、库房、储罐区、外场试验区等作业场所监控、监测、防触电、防坠落、防爆、泄压、防火、灭火、通风、防晒、调温、防毒、防雷、防静电、防腐、防尘、防噪声与振动、防辐射、防护围堤和隔离操作等设施设备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（二）配备、维护、保养应急救援、应急处置、特种个人防护器材、设备、设施支出和应急救援队伍建设、应急预案制修订与应急演练支出；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（三）开展重大危险源检测、评估、监控支出，安全风险分级管控和事故隐患排查整改支出，安全生产信息化、智能化建设、运维和网络安全支出；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（四）高新技术和特种专用设备安全鉴定评估、安全性能检验检测及操作人员上岗培训支出；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（五）安全生产检查、评估评价（不含新建、改建、扩建项目安全评价）、咨询和标准化建设支出；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（六）安全生产宣传、教育、培训和从业人员发现并报告事故隐患的奖励支出；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（七）军工核设施（含核废物）防泄漏、防辐射的设施设备支出；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（八）军工危险化学品、放射性物品及武器装备科研、试验、生产、储运、销毁、维修保障过程中的安全技术措施改造费和安全防护（不含工作服）费用支出；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（九）大型复杂武器装备制造、安装、调试的特殊工种和特种作业人员培训支出；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（十）武器装备大型试验安全专项论证与安全防护费用支出；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（十一）特殊军工电子元器件制造过程中有毒有害物质监测及特种防护支出；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（十二）安全生产适用新技术、新标准、新工艺、新装备的推广应用支出；</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（十三）安全生产责任保险支出；</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（十四）与安全生产直接相关的其他支出。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本条是武器装备研制生产与试验企业安全生产费用的使用范围。</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宋体" w:hAnsi="宋体" w:eastAsia="宋体"/>
          <w:b/>
          <w:color w:val="auto"/>
          <w:szCs w:val="21"/>
          <w:highlight w:val="none"/>
        </w:rPr>
      </w:pPr>
      <w:r>
        <w:rPr>
          <w:rFonts w:hint="eastAsia" w:ascii="仿宋_GB2312" w:hAnsi="楷体" w:eastAsia="仿宋_GB2312" w:cs="宋体"/>
          <w:color w:val="auto"/>
          <w:kern w:val="0"/>
          <w:sz w:val="32"/>
          <w:szCs w:val="32"/>
          <w:highlight w:val="none"/>
        </w:rPr>
        <w:t>本条基于原办法第二十五条修订。武器装备是在高速、高压、高过载、强对抗、全天候等恶劣环境条件下具备高效毁伤和对抗能力的复杂高技术产品，其高危险性与生俱来且不断演变发展。根据武器装备研制生产与试验企业的实际情况、特点，办法规定了不仅包括危险品生产企业安全</w:t>
      </w:r>
      <w:r>
        <w:rPr>
          <w:rFonts w:ascii="仿宋_GB2312" w:hAnsi="楷体" w:eastAsia="仿宋_GB2312" w:cs="宋体"/>
          <w:color w:val="auto"/>
          <w:kern w:val="0"/>
          <w:sz w:val="32"/>
          <w:szCs w:val="32"/>
          <w:highlight w:val="none"/>
        </w:rPr>
        <w:t>生产费用</w:t>
      </w:r>
      <w:r>
        <w:rPr>
          <w:rFonts w:hint="eastAsia" w:ascii="仿宋_GB2312" w:hAnsi="楷体" w:eastAsia="仿宋_GB2312" w:cs="宋体"/>
          <w:color w:val="auto"/>
          <w:kern w:val="0"/>
          <w:sz w:val="32"/>
          <w:szCs w:val="32"/>
          <w:highlight w:val="none"/>
        </w:rPr>
        <w:t>使用范围，还包括特种</w:t>
      </w:r>
      <w:r>
        <w:rPr>
          <w:rStyle w:val="61"/>
          <w:rFonts w:hint="eastAsia" w:eastAsia="仿宋_GB2312"/>
          <w:color w:val="auto"/>
          <w:spacing w:val="0"/>
          <w:sz w:val="32"/>
          <w:szCs w:val="32"/>
          <w:lang w:val="en-US" w:eastAsia="zh-CN" w:bidi="ar"/>
        </w:rPr>
        <w:t>个人防护器材、设备设施的配备和维护保养；高新技术和特种专用设备安全鉴定评估、安全性能检验检测及操作人员上岗培训；军工核设施（含核废物）防泄漏、防辐射的设施设备；军工危险化学品、放射性物品及武器装备科研、试验、生产、储运、销毁、维修保障过程中的安全技术措施改造和安全防护（不包括工作服）；大型复杂武器装备制造、安装、调试的特殊工种和特种作业人员培训；武器装备大型试验安全专项论证与安全防护；特殊军工电子元器件制造过程中有毒有害物质监测及特种防护等十四个方面安全生产费用使用范围。与原办法安全生产费用使用范围相比，本次修订新增应急救援队伍建设、应急预案制修订、重大危险源检测、安全风险分级管控和事故隐患排查支出，安全生产信息化、智能化建设、运维和网络安全支出，安全生产评估、从业人员发现并报告事故隐患的奖励、安全生产责任保险支出内容。将这部分内容列入使用范围，主要考虑到当前企业安全发展需求的变化，安全生产费用的使用范围还应当包括安全生产信息化等先进技术手段应用、安全风险防控和事故隐患治理、安全生产应急救援体系建设等方面投入，增强安全生产突发事件的防范与应对能力。《“十四五”国家应急体系规划》和《国务院安全生产委员会关于印发2019年工作要点的通知》（安委〔2019〕1号）分别对安全风险分级管控和隐患排查治理、安全生产责任保险保费纳入企业安全生产费用提取使用范围进行了明确，武器装备研制生产与试验企业尚未纳入《安全生产责任保险实施办法》（安监总办〔2017〕140号）要求强制实施的高危行业领域范围，但考虑到未来安全发展需求，为武器装备研制生产与试验行业预留支出口径。</w:t>
      </w:r>
    </w:p>
    <w:p>
      <w:pPr>
        <w:keepNext w:val="0"/>
        <w:keepLines w:val="0"/>
        <w:pageBreakBefore w:val="0"/>
        <w:widowControl w:val="0"/>
        <w:kinsoku/>
        <w:wordWrap/>
        <w:overflowPunct/>
        <w:topLinePunct w:val="0"/>
        <w:bidi w:val="0"/>
        <w:spacing w:line="560" w:lineRule="exact"/>
        <w:jc w:val="center"/>
        <w:rPr>
          <w:rFonts w:ascii="仿宋_GB2312" w:hAnsi="仿宋" w:eastAsia="仿宋_GB2312" w:cs="宋体"/>
          <w:bCs/>
          <w:color w:val="auto"/>
          <w:kern w:val="0"/>
          <w:sz w:val="32"/>
          <w:szCs w:val="32"/>
          <w:highlight w:val="none"/>
        </w:rPr>
      </w:pPr>
      <w:r>
        <w:rPr>
          <w:rFonts w:hint="eastAsia" w:ascii="宋体" w:hAnsi="宋体" w:eastAsia="宋体"/>
          <w:b/>
          <w:color w:val="auto"/>
          <w:szCs w:val="21"/>
          <w:highlight w:val="none"/>
        </w:rPr>
        <w:t>武器装备研制生产</w:t>
      </w:r>
      <w:r>
        <w:rPr>
          <w:rFonts w:ascii="宋体" w:hAnsi="宋体" w:eastAsia="宋体"/>
          <w:b/>
          <w:color w:val="auto"/>
          <w:szCs w:val="21"/>
          <w:highlight w:val="none"/>
        </w:rPr>
        <w:t>与试验企业安全生产费用</w:t>
      </w:r>
      <w:r>
        <w:rPr>
          <w:rFonts w:hint="eastAsia" w:ascii="宋体" w:hAnsi="宋体" w:eastAsia="宋体"/>
          <w:b/>
          <w:color w:val="auto"/>
          <w:szCs w:val="21"/>
          <w:highlight w:val="none"/>
        </w:rPr>
        <w:t>支出负面清单</w:t>
      </w:r>
    </w:p>
    <w:tbl>
      <w:tblPr>
        <w:tblStyle w:val="24"/>
        <w:tblW w:w="8916" w:type="dxa"/>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45"/>
        <w:gridCol w:w="7371"/>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tblHeader/>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1.按照“三同时”要求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.生产类装置及通用附件的完善、</w:t>
            </w:r>
            <w:r>
              <w:rPr>
                <w:rFonts w:ascii="宋体" w:hAnsi="宋体" w:eastAsia="宋体"/>
                <w:color w:val="auto"/>
                <w:szCs w:val="21"/>
                <w:highlight w:val="none"/>
              </w:rPr>
              <w:t>改造和维护</w:t>
            </w:r>
            <w:r>
              <w:rPr>
                <w:rFonts w:hint="eastAsia" w:ascii="宋体" w:hAnsi="宋体" w:eastAsia="宋体"/>
                <w:color w:val="auto"/>
                <w:szCs w:val="21"/>
                <w:highlight w:val="none"/>
              </w:rPr>
              <w:t>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777"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778"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视频监控设备安装后委托第三方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安全防护用品支出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hint="eastAsia" w:ascii="宋体" w:hAnsi="宋体" w:eastAsia="宋体" w:cs="宋体"/>
                <w:color w:val="auto"/>
                <w:kern w:val="0"/>
                <w:szCs w:val="21"/>
                <w:highlight w:val="none"/>
              </w:rPr>
              <w:t>1.企业</w:t>
            </w:r>
            <w:r>
              <w:rPr>
                <w:rFonts w:ascii="宋体" w:hAnsi="宋体" w:eastAsia="宋体" w:cs="宋体"/>
                <w:color w:val="auto"/>
                <w:kern w:val="0"/>
                <w:szCs w:val="21"/>
                <w:highlight w:val="none"/>
              </w:rPr>
              <w:t>负责人、</w:t>
            </w:r>
            <w:r>
              <w:rPr>
                <w:rFonts w:hint="eastAsia" w:ascii="宋体" w:hAnsi="宋体" w:eastAsia="宋体" w:cs="宋体"/>
                <w:color w:val="auto"/>
                <w:kern w:val="0"/>
                <w:szCs w:val="21"/>
                <w:highlight w:val="none"/>
              </w:rPr>
              <w:t>安全生产管理人员非安全生产相关的岗前培训等支出；</w:t>
            </w:r>
            <w:r>
              <w:rPr>
                <w:rFonts w:ascii="宋体" w:hAnsi="宋体" w:eastAsia="宋体" w:cs="宋体"/>
                <w:color w:val="auto"/>
                <w:kern w:val="0"/>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非大型复杂武器装备制造、安装、调试的特殊工种和特种作业人员培训支出；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3.</w:t>
            </w:r>
            <w:r>
              <w:rPr>
                <w:rFonts w:hint="eastAsia" w:ascii="宋体" w:hAnsi="宋体" w:eastAsia="宋体" w:cs="宋体"/>
                <w:color w:val="auto"/>
                <w:kern w:val="0"/>
                <w:szCs w:val="21"/>
                <w:highlight w:val="none"/>
              </w:rPr>
              <w:t>非高新技术和特种专用设备操作人员上岗培训支出。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“四新”（新技术、新标准、新工艺、新装备）的研究、开发等前期费用。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w:t>
            </w:r>
            <w:r>
              <w:rPr>
                <w:rFonts w:ascii="宋体" w:hAnsi="宋体" w:eastAsia="宋体"/>
                <w:color w:val="auto"/>
                <w:szCs w:val="21"/>
                <w:highlight w:val="none"/>
              </w:rPr>
              <w:t>安全生产责任保险</w:t>
            </w:r>
            <w:r>
              <w:rPr>
                <w:rFonts w:hint="eastAsia" w:ascii="宋体" w:hAnsi="宋体" w:eastAsia="宋体"/>
                <w:color w:val="auto"/>
                <w:szCs w:val="21"/>
                <w:highlight w:val="none"/>
              </w:rPr>
              <w:t>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，安检</w:t>
            </w:r>
            <w:r>
              <w:rPr>
                <w:rFonts w:ascii="宋体" w:hAnsi="宋体" w:eastAsia="宋体"/>
                <w:color w:val="auto"/>
                <w:szCs w:val="21"/>
                <w:highlight w:val="none"/>
              </w:rPr>
              <w:t>、</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PrEx>
        <w:trPr>
          <w:trHeight w:val="340"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3.</w:t>
            </w:r>
            <w:r>
              <w:rPr>
                <w:rFonts w:hint="eastAsia" w:ascii="宋体" w:hAnsi="宋体" w:eastAsia="宋体" w:cs="宋体"/>
                <w:color w:val="auto"/>
                <w:kern w:val="0"/>
                <w:szCs w:val="21"/>
                <w:highlight w:val="none"/>
              </w:rPr>
              <w:t>职业健康体检、职业健康建档费用，以及职业病诊断、鉴定、治疗、康复费用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40" w:hRule="atLeast"/>
          <w:jc w:val="center"/>
        </w:trPr>
        <w:tc>
          <w:tcPr>
            <w:tcW w:w="1545" w:type="dxa"/>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7371" w:type="dxa"/>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pStyle w:val="21"/>
        <w:keepNext w:val="0"/>
        <w:keepLines w:val="0"/>
        <w:pageBreakBefore w:val="0"/>
        <w:widowControl w:val="0"/>
        <w:kinsoku/>
        <w:wordWrap/>
        <w:overflowPunct/>
        <w:topLinePunct w:val="0"/>
        <w:bidi w:val="0"/>
        <w:spacing w:beforeAutospacing="0" w:afterAutospacing="0" w:line="560" w:lineRule="exact"/>
        <w:ind w:firstLine="421" w:firstLineChars="200"/>
        <w:jc w:val="both"/>
        <w:rPr>
          <w:rFonts w:ascii="楷体" w:hAnsi="楷体" w:eastAsia="楷体" w:cs="宋体"/>
          <w:bCs/>
          <w:color w:val="auto"/>
          <w:sz w:val="21"/>
          <w:szCs w:val="21"/>
          <w:highlight w:val="none"/>
        </w:rPr>
      </w:pPr>
      <w:r>
        <w:rPr>
          <w:rFonts w:hint="eastAsia" w:ascii="楷体" w:hAnsi="楷体" w:eastAsia="楷体" w:cs="宋体"/>
          <w:b/>
          <w:bCs/>
          <w:color w:val="auto"/>
          <w:sz w:val="21"/>
          <w:szCs w:val="21"/>
          <w:highlight w:val="none"/>
        </w:rPr>
        <w:t>注</w:t>
      </w:r>
      <w:r>
        <w:rPr>
          <w:rFonts w:ascii="楷体" w:hAnsi="楷体" w:eastAsia="楷体" w:cs="宋体"/>
          <w:b/>
          <w:bCs/>
          <w:color w:val="auto"/>
          <w:sz w:val="21"/>
          <w:szCs w:val="21"/>
          <w:highlight w:val="none"/>
        </w:rPr>
        <w:t>：</w:t>
      </w:r>
      <w:r>
        <w:rPr>
          <w:rFonts w:hint="eastAsia" w:ascii="楷体" w:hAnsi="楷体" w:eastAsia="楷体" w:cs="宋体"/>
          <w:bCs/>
          <w:color w:val="auto"/>
          <w:sz w:val="21"/>
          <w:szCs w:val="21"/>
          <w:highlight w:val="none"/>
        </w:rPr>
        <w:t>以上清单支出范围不宜列入武器装备研制生产与试验企业安全生产费用，需要按原有费用渠道列支和管理。</w:t>
      </w:r>
    </w:p>
    <w:bookmarkEnd w:id="28"/>
    <w:p>
      <w:pPr>
        <w:pStyle w:val="4"/>
        <w:keepNext w:val="0"/>
        <w:keepLines w:val="0"/>
        <w:pageBreakBefore w:val="0"/>
        <w:widowControl w:val="0"/>
        <w:kinsoku/>
        <w:wordWrap/>
        <w:overflowPunct/>
        <w:topLinePunct w:val="0"/>
        <w:bidi w:val="0"/>
        <w:spacing w:before="0" w:after="0" w:line="560" w:lineRule="exact"/>
        <w:jc w:val="center"/>
        <w:rPr>
          <w:rFonts w:ascii="黑体" w:hAnsi="黑体" w:eastAsia="黑体"/>
          <w:b w:val="0"/>
          <w:color w:val="auto"/>
          <w:highlight w:val="none"/>
        </w:rPr>
      </w:pPr>
      <w:bookmarkStart w:id="29" w:name="_Toc147996033"/>
      <w:bookmarkStart w:id="30" w:name="_Toc152145219"/>
      <w:bookmarkStart w:id="31" w:name="_Hlk145315865"/>
      <w:r>
        <w:rPr>
          <w:rFonts w:hint="eastAsia" w:ascii="黑体" w:hAnsi="黑体" w:eastAsia="黑体"/>
          <w:b w:val="0"/>
          <w:color w:val="auto"/>
          <w:highlight w:val="none"/>
        </w:rPr>
        <w:t>第十二节  电力生产与供应企业</w:t>
      </w:r>
      <w:bookmarkEnd w:id="29"/>
      <w:bookmarkEnd w:id="30"/>
    </w:p>
    <w:p>
      <w:pPr>
        <w:pStyle w:val="12"/>
        <w:keepNext w:val="0"/>
        <w:keepLines w:val="0"/>
        <w:pageBreakBefore w:val="0"/>
        <w:widowControl w:val="0"/>
        <w:kinsoku/>
        <w:wordWrap/>
        <w:overflowPunct/>
        <w:topLinePunct w:val="0"/>
        <w:bidi w:val="0"/>
        <w:snapToGrid w:val="0"/>
        <w:spacing w:line="560" w:lineRule="exact"/>
        <w:ind w:firstLine="640"/>
        <w:rPr>
          <w:rFonts w:hAnsi="仿宋" w:cs="宋体"/>
          <w:b/>
          <w:color w:val="auto"/>
          <w:kern w:val="0"/>
          <w:sz w:val="32"/>
          <w:szCs w:val="32"/>
          <w:highlight w:val="none"/>
        </w:rPr>
      </w:pPr>
      <w:r>
        <w:rPr>
          <w:rFonts w:hint="eastAsia" w:ascii="黑体" w:hAnsi="黑体" w:eastAsia="黑体" w:cstheme="minorBidi"/>
          <w:bCs/>
          <w:color w:val="auto"/>
          <w:kern w:val="44"/>
          <w:sz w:val="32"/>
          <w:szCs w:val="32"/>
          <w:highlight w:val="none"/>
        </w:rPr>
        <w:t>第四十二条</w:t>
      </w:r>
      <w:r>
        <w:rPr>
          <w:rFonts w:hint="eastAsia" w:hAnsi="仿宋" w:cs="宋体"/>
          <w:bCs/>
          <w:color w:val="auto"/>
          <w:kern w:val="0"/>
          <w:sz w:val="32"/>
          <w:szCs w:val="32"/>
          <w:highlight w:val="none"/>
        </w:rPr>
        <w:t xml:space="preserve"> </w:t>
      </w:r>
      <w:r>
        <w:rPr>
          <w:rFonts w:hint="eastAsia" w:hAnsi="仿宋" w:cs="宋体"/>
          <w:b/>
          <w:color w:val="auto"/>
          <w:kern w:val="0"/>
          <w:sz w:val="32"/>
          <w:szCs w:val="32"/>
          <w:highlight w:val="none"/>
        </w:rPr>
        <w:t>电力生产是指利用火力、水力、核力、风力、太阳能、生物质能以及地热、潮汐能等其他能源转换成电能的活动。</w:t>
      </w:r>
    </w:p>
    <w:p>
      <w:pPr>
        <w:pStyle w:val="12"/>
        <w:keepNext w:val="0"/>
        <w:keepLines w:val="0"/>
        <w:pageBreakBefore w:val="0"/>
        <w:widowControl w:val="0"/>
        <w:kinsoku/>
        <w:wordWrap/>
        <w:overflowPunct/>
        <w:topLinePunct w:val="0"/>
        <w:bidi w:val="0"/>
        <w:snapToGrid w:val="0"/>
        <w:spacing w:line="560" w:lineRule="exact"/>
        <w:ind w:firstLine="643"/>
        <w:rPr>
          <w:rFonts w:hint="eastAsia" w:hAnsi="仿宋" w:cs="宋体"/>
          <w:b/>
          <w:color w:val="auto"/>
          <w:kern w:val="0"/>
          <w:sz w:val="32"/>
          <w:szCs w:val="32"/>
          <w:highlight w:val="none"/>
        </w:rPr>
      </w:pPr>
      <w:r>
        <w:rPr>
          <w:rFonts w:hint="eastAsia" w:hAnsi="仿宋" w:cs="宋体"/>
          <w:b/>
          <w:color w:val="auto"/>
          <w:kern w:val="0"/>
          <w:sz w:val="32"/>
          <w:szCs w:val="32"/>
          <w:highlight w:val="none"/>
        </w:rPr>
        <w:t>电力供应是指经营和运行电网，从事输电、变电、配电等电能输送与分配的活动。</w:t>
      </w:r>
    </w:p>
    <w:p>
      <w:pPr>
        <w:pStyle w:val="12"/>
        <w:keepNext w:val="0"/>
        <w:keepLines w:val="0"/>
        <w:pageBreakBefore w:val="0"/>
        <w:widowControl w:val="0"/>
        <w:kinsoku/>
        <w:wordWrap/>
        <w:overflowPunct/>
        <w:topLinePunct w:val="0"/>
        <w:bidi w:val="0"/>
        <w:snapToGrid w:val="0"/>
        <w:spacing w:line="560" w:lineRule="exact"/>
        <w:ind w:firstLine="643"/>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本条是适用办法的电力生产与供应行业的属性内涵。</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电力生产与供应为本次修订新增行业。电力是重要基础产业，电力安全生产关系人民生命财产安全，关系国计民生和经济发展全局。目前我国有火力、水力发电等主要形式，以及核能、风能、太阳能、潮汐能、生物质能等新型能源发电形式，与电力生产有关的环节包括发电、输变电、供电等。</w:t>
      </w:r>
    </w:p>
    <w:p>
      <w:pPr>
        <w:pStyle w:val="12"/>
        <w:keepNext w:val="0"/>
        <w:keepLines w:val="0"/>
        <w:pageBreakBefore w:val="0"/>
        <w:widowControl w:val="0"/>
        <w:kinsoku/>
        <w:wordWrap/>
        <w:overflowPunct/>
        <w:topLinePunct w:val="0"/>
        <w:bidi w:val="0"/>
        <w:snapToGrid w:val="0"/>
        <w:spacing w:line="560" w:lineRule="exact"/>
        <w:ind w:firstLine="640"/>
        <w:rPr>
          <w:rFonts w:hAnsi="楷体" w:cs="宋体"/>
          <w:color w:val="auto"/>
          <w:kern w:val="0"/>
          <w:sz w:val="32"/>
          <w:szCs w:val="32"/>
          <w:highlight w:val="none"/>
        </w:rPr>
      </w:pPr>
      <w:r>
        <w:rPr>
          <w:rFonts w:hint="eastAsia" w:hAnsi="楷体" w:cs="宋体"/>
          <w:color w:val="auto"/>
          <w:kern w:val="0"/>
          <w:sz w:val="32"/>
          <w:szCs w:val="32"/>
          <w:highlight w:val="none"/>
        </w:rPr>
        <w:t>近年来，随着电力系统规模不断扩大，新设备新技术新领域带来新风险，特别是首台首套设备、特高压设备在电力系统推广应用，以及电化学储能的快速发展与规模化应用暴露出的新问题需要采取措施治理。考虑到电力行业安全的特殊性、复杂性以及对社会经济发展的极端重要性，本次修订将电力生产、供应企业纳入办法适用范围。</w:t>
      </w:r>
      <w:bookmarkEnd w:id="31"/>
      <w:bookmarkStart w:id="32" w:name="_Hlk145315826"/>
    </w:p>
    <w:p>
      <w:pPr>
        <w:pStyle w:val="12"/>
        <w:keepNext w:val="0"/>
        <w:keepLines w:val="0"/>
        <w:pageBreakBefore w:val="0"/>
        <w:widowControl w:val="0"/>
        <w:kinsoku/>
        <w:wordWrap/>
        <w:overflowPunct/>
        <w:topLinePunct w:val="0"/>
        <w:bidi w:val="0"/>
        <w:snapToGrid w:val="0"/>
        <w:spacing w:line="560" w:lineRule="exact"/>
        <w:ind w:firstLine="640"/>
        <w:rPr>
          <w:rFonts w:hAnsi="仿宋" w:cs="宋体"/>
          <w:b/>
          <w:color w:val="auto"/>
          <w:kern w:val="0"/>
          <w:sz w:val="32"/>
          <w:szCs w:val="32"/>
          <w:highlight w:val="none"/>
        </w:rPr>
      </w:pPr>
      <w:r>
        <w:rPr>
          <w:rFonts w:hint="eastAsia" w:ascii="黑体" w:hAnsi="黑体" w:eastAsia="黑体"/>
          <w:bCs/>
          <w:color w:val="auto"/>
          <w:kern w:val="44"/>
          <w:sz w:val="32"/>
          <w:szCs w:val="32"/>
          <w:highlight w:val="none"/>
        </w:rPr>
        <w:t>第四十三条</w:t>
      </w:r>
      <w:r>
        <w:rPr>
          <w:rFonts w:hint="eastAsia" w:hAnsi="仿宋" w:cs="宋体"/>
          <w:bCs/>
          <w:color w:val="auto"/>
          <w:kern w:val="0"/>
          <w:sz w:val="32"/>
          <w:szCs w:val="32"/>
          <w:highlight w:val="none"/>
        </w:rPr>
        <w:t xml:space="preserve"> </w:t>
      </w:r>
      <w:r>
        <w:rPr>
          <w:rFonts w:hint="eastAsia" w:hAnsi="仿宋" w:cs="宋体"/>
          <w:b/>
          <w:color w:val="auto"/>
          <w:kern w:val="0"/>
          <w:sz w:val="32"/>
          <w:szCs w:val="32"/>
          <w:highlight w:val="none"/>
        </w:rPr>
        <w:t>电力生产与供应企业以上一年度营业收入为依据，采取超额累退方式确定本年度应计提金额，并逐月平均提取。</w:t>
      </w:r>
    </w:p>
    <w:p>
      <w:pPr>
        <w:keepNext w:val="0"/>
        <w:keepLines w:val="0"/>
        <w:pageBreakBefore w:val="0"/>
        <w:widowControl w:val="0"/>
        <w:kinsoku/>
        <w:wordWrap/>
        <w:overflowPunct/>
        <w:topLinePunct w:val="0"/>
        <w:bidi w:val="0"/>
        <w:spacing w:line="560" w:lineRule="exact"/>
        <w:ind w:firstLine="642" w:firstLineChars="200"/>
        <w:textAlignment w:val="baseline"/>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（一）电力生产企业，提取标准如下：</w:t>
      </w:r>
    </w:p>
    <w:p>
      <w:pPr>
        <w:keepNext w:val="0"/>
        <w:keepLines w:val="0"/>
        <w:pageBreakBefore w:val="0"/>
        <w:widowControl w:val="0"/>
        <w:kinsoku/>
        <w:wordWrap/>
        <w:overflowPunct/>
        <w:topLinePunct w:val="0"/>
        <w:bidi w:val="0"/>
        <w:snapToGrid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1.上一年度营业收入不超过1000万元的，按照3%提取；</w:t>
      </w:r>
    </w:p>
    <w:p>
      <w:pPr>
        <w:keepNext w:val="0"/>
        <w:keepLines w:val="0"/>
        <w:pageBreakBefore w:val="0"/>
        <w:widowControl w:val="0"/>
        <w:kinsoku/>
        <w:wordWrap/>
        <w:overflowPunct/>
        <w:topLinePunct w:val="0"/>
        <w:bidi w:val="0"/>
        <w:snapToGrid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2.上一年度营业收入超过1000万元至1亿元的部分，按照1.5%提取；</w:t>
      </w:r>
    </w:p>
    <w:p>
      <w:pPr>
        <w:keepNext w:val="0"/>
        <w:keepLines w:val="0"/>
        <w:pageBreakBefore w:val="0"/>
        <w:widowControl w:val="0"/>
        <w:kinsoku/>
        <w:wordWrap/>
        <w:overflowPunct/>
        <w:topLinePunct w:val="0"/>
        <w:bidi w:val="0"/>
        <w:snapToGrid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3.上一年度营业收入超过1亿元至10亿元的部分，按照1%提取；</w:t>
      </w:r>
    </w:p>
    <w:p>
      <w:pPr>
        <w:keepNext w:val="0"/>
        <w:keepLines w:val="0"/>
        <w:pageBreakBefore w:val="0"/>
        <w:widowControl w:val="0"/>
        <w:kinsoku/>
        <w:wordWrap/>
        <w:overflowPunct/>
        <w:topLinePunct w:val="0"/>
        <w:bidi w:val="0"/>
        <w:snapToGrid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4.上一年度营业收入超过10亿元至50亿元的部分，按照0.8%提取；</w:t>
      </w:r>
    </w:p>
    <w:p>
      <w:pPr>
        <w:keepNext w:val="0"/>
        <w:keepLines w:val="0"/>
        <w:pageBreakBefore w:val="0"/>
        <w:widowControl w:val="0"/>
        <w:kinsoku/>
        <w:wordWrap/>
        <w:overflowPunct/>
        <w:topLinePunct w:val="0"/>
        <w:bidi w:val="0"/>
        <w:snapToGrid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5.上一年度营业收入超过50亿元至100亿元的部分，按照0.6%提取；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6.上一年度营业收入超过100亿元的部分，按照0.2%提取。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（二）电力供应企业，提取标准如下：</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1.上一年度营业收入不超过500亿元的，按照0.5%提取；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2.上一年度营业收入超过500亿元至1000亿元的部分，按照0.4%提取；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3.上一年度营业收入超过1000亿元至2000亿元的部分，按照0.3%提取；</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4.上一年度营业收入超过2000亿元的部分，按照0.2%提取。</w:t>
      </w:r>
    </w:p>
    <w:p>
      <w:pPr>
        <w:pStyle w:val="21"/>
        <w:keepNext w:val="0"/>
        <w:keepLines w:val="0"/>
        <w:pageBreakBefore w:val="0"/>
        <w:widowControl w:val="0"/>
        <w:shd w:val="clear" w:color="auto" w:fill="FFFFFF"/>
        <w:kinsoku/>
        <w:wordWrap/>
        <w:overflowPunct/>
        <w:topLinePunct w:val="0"/>
        <w:bidi w:val="0"/>
        <w:adjustRightInd w:val="0"/>
        <w:snapToGrid w:val="0"/>
        <w:spacing w:beforeAutospacing="0" w:afterAutospacing="0"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【解读】</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本条是电力生产与供应企业安全生产费用的提取依据与标准，通过合理测算并参照国家相关部门意见确定。</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第四十四条 电力生产与供应企业安全生产费用应当用于以下支出：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一）完善、改造和维护安全防护设备、设施支出（不含“三同时”要求初期投入的安全设施），包括发电、输电、变电、配电等设备设施的安全防护及安全状况的完善、改造、检测、监测及维护，作业场所的安全监控、监测以及防触电、防坠落、防物体打击、防火、防爆、防毒、防窒息、防雷、防误操作、临边、封闭等设施设备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（二）配备、维护、保养应急救援器材、设备设施支出和应急救援队伍建设、应急预案制修订与应急演练支出；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 xml:space="preserve">（三）开展重大危险源检测、评估、监控支出，安全风险分级管控和事故隐患排查整改支出（不含水电站大坝重大隐患除险加固支出、燃煤发电厂贮灰场重大隐患除险加固治理支出），安全生产信息化、智能化建设、运维和网路安全支出； </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（四）安全生产检查、评估评价（不含新建、改建、扩建项目安全评价）、咨询和标准化建设支出；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（五）安全生产宣传、教育、培训和从业人员发现并报告事故隐患的奖励支出；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（六）配备和更新现场作业人员安全防护用品支出；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（七）安全生产适用的新技术、新标准、新工艺、新设备的推广应用支出；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（八）安全设施及特种设备检测检验、检定校准支出；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（九）安全生产责任保险支出；</w:t>
      </w:r>
    </w:p>
    <w:p>
      <w:pPr>
        <w:keepNext w:val="0"/>
        <w:keepLines w:val="0"/>
        <w:pageBreakBefore w:val="0"/>
        <w:widowControl w:val="0"/>
        <w:kinsoku/>
        <w:wordWrap/>
        <w:overflowPunct/>
        <w:topLinePunct w:val="0"/>
        <w:bidi w:val="0"/>
        <w:spacing w:line="560" w:lineRule="exact"/>
        <w:ind w:firstLine="642" w:firstLineChars="200"/>
        <w:rPr>
          <w:rStyle w:val="61"/>
          <w:rFonts w:hint="eastAsia" w:eastAsia="仿宋_GB2312"/>
          <w:b/>
          <w:bCs/>
          <w:color w:val="auto"/>
          <w:spacing w:val="0"/>
          <w:sz w:val="32"/>
          <w:szCs w:val="32"/>
          <w:lang w:val="en-US" w:eastAsia="zh-CN" w:bidi="ar"/>
        </w:rPr>
      </w:pPr>
      <w:r>
        <w:rPr>
          <w:rStyle w:val="61"/>
          <w:rFonts w:hint="eastAsia" w:eastAsia="仿宋_GB2312"/>
          <w:b/>
          <w:bCs/>
          <w:color w:val="auto"/>
          <w:spacing w:val="0"/>
          <w:sz w:val="32"/>
          <w:szCs w:val="32"/>
          <w:lang w:val="en-US" w:eastAsia="zh-CN" w:bidi="ar"/>
        </w:rPr>
        <w:t>（十）与安全生产直接相关的其他支出。</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本条是电力生产与供应企业安全生产费用的使用范围。</w:t>
      </w:r>
    </w:p>
    <w:p>
      <w:pPr>
        <w:keepNext w:val="0"/>
        <w:keepLines w:val="0"/>
        <w:pageBreakBefore w:val="0"/>
        <w:widowControl w:val="0"/>
        <w:kinsoku/>
        <w:wordWrap/>
        <w:overflowPunct/>
        <w:topLinePunct w:val="0"/>
        <w:bidi w:val="0"/>
        <w:spacing w:line="560" w:lineRule="exact"/>
        <w:ind w:firstLine="640" w:firstLineChars="200"/>
        <w:rPr>
          <w:rFonts w:ascii="宋体" w:hAnsi="宋体" w:eastAsia="宋体"/>
          <w:b/>
          <w:color w:val="auto"/>
          <w:szCs w:val="21"/>
          <w:highlight w:val="none"/>
        </w:rPr>
      </w:pPr>
      <w:r>
        <w:rPr>
          <w:rFonts w:hint="eastAsia" w:ascii="仿宋_GB2312" w:hAnsi="楷体" w:eastAsia="仿宋_GB2312" w:cs="宋体"/>
          <w:color w:val="auto"/>
          <w:kern w:val="0"/>
          <w:sz w:val="32"/>
          <w:szCs w:val="32"/>
          <w:highlight w:val="none"/>
        </w:rPr>
        <w:t>按照办法关于企业安全生产费用专门用于完善和改进企业安全生产条件的精神，结合电力生产与电力供应企业实际情况，明确安全生产费用十个方面具体使用范围。对于企业投产时按照“三同时”要求初期投入的安全设施、水电站大坝重大隐患除险加固支出、燃煤发电厂贮灰场重大隐患除险加固治理支出，及新建、改建、扩建项目安全评价，则不在提取的安全生产费用中列支。</w:t>
      </w:r>
    </w:p>
    <w:p>
      <w:pPr>
        <w:keepNext w:val="0"/>
        <w:keepLines w:val="0"/>
        <w:pageBreakBefore w:val="0"/>
        <w:widowControl w:val="0"/>
        <w:kinsoku/>
        <w:wordWrap/>
        <w:overflowPunct/>
        <w:topLinePunct w:val="0"/>
        <w:bidi w:val="0"/>
        <w:spacing w:line="560" w:lineRule="exact"/>
        <w:jc w:val="center"/>
        <w:rPr>
          <w:rFonts w:ascii="仿宋_GB2312" w:hAnsi="仿宋" w:eastAsia="仿宋_GB2312" w:cs="宋体"/>
          <w:bCs/>
          <w:color w:val="auto"/>
          <w:kern w:val="0"/>
          <w:sz w:val="32"/>
          <w:szCs w:val="32"/>
          <w:highlight w:val="none"/>
        </w:rPr>
      </w:pPr>
      <w:r>
        <w:rPr>
          <w:rFonts w:hint="eastAsia" w:ascii="宋体" w:hAnsi="宋体" w:eastAsia="宋体"/>
          <w:b/>
          <w:color w:val="auto"/>
          <w:szCs w:val="21"/>
          <w:highlight w:val="none"/>
        </w:rPr>
        <w:t>电力生产</w:t>
      </w:r>
      <w:r>
        <w:rPr>
          <w:rFonts w:ascii="宋体" w:hAnsi="宋体" w:eastAsia="宋体"/>
          <w:b/>
          <w:color w:val="auto"/>
          <w:szCs w:val="21"/>
          <w:highlight w:val="none"/>
        </w:rPr>
        <w:t>与供应企业安全生产费用</w:t>
      </w:r>
      <w:r>
        <w:rPr>
          <w:rFonts w:hint="eastAsia" w:ascii="宋体" w:hAnsi="宋体" w:eastAsia="宋体"/>
          <w:b/>
          <w:color w:val="auto"/>
          <w:szCs w:val="21"/>
          <w:highlight w:val="none"/>
        </w:rPr>
        <w:t>支出负面清单</w:t>
      </w:r>
    </w:p>
    <w:tbl>
      <w:tblPr>
        <w:tblStyle w:val="24"/>
        <w:tblW w:w="5000" w:type="pct"/>
        <w:jc w:val="center"/>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Layout w:type="autofit"/>
        <w:tblCellMar>
          <w:top w:w="0" w:type="dxa"/>
          <w:left w:w="108" w:type="dxa"/>
          <w:bottom w:w="0" w:type="dxa"/>
          <w:right w:w="108" w:type="dxa"/>
        </w:tblCellMar>
      </w:tblPr>
      <w:tblGrid>
        <w:gridCol w:w="1589"/>
        <w:gridCol w:w="7585"/>
      </w:tblGrid>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tblHeader/>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类 别</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宋体" w:hAnsi="宋体" w:eastAsia="宋体"/>
                <w:b/>
                <w:color w:val="auto"/>
                <w:szCs w:val="21"/>
                <w:highlight w:val="none"/>
              </w:rPr>
            </w:pPr>
            <w:r>
              <w:rPr>
                <w:rFonts w:hint="eastAsia" w:ascii="宋体" w:hAnsi="宋体" w:eastAsia="宋体"/>
                <w:b/>
                <w:color w:val="auto"/>
                <w:szCs w:val="21"/>
                <w:highlight w:val="none"/>
              </w:rPr>
              <w:t>名 称</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安全防护设施</w:t>
            </w:r>
            <w:r>
              <w:rPr>
                <w:rFonts w:ascii="宋体" w:hAnsi="宋体" w:eastAsia="宋体" w:cs="宋体"/>
                <w:color w:val="auto"/>
                <w:kern w:val="0"/>
                <w:szCs w:val="21"/>
                <w:highlight w:val="none"/>
              </w:rPr>
              <w:t>设备</w:t>
            </w:r>
            <w:r>
              <w:rPr>
                <w:rFonts w:hint="eastAsia" w:ascii="宋体" w:hAnsi="宋体" w:eastAsia="宋体" w:cs="宋体"/>
                <w:color w:val="auto"/>
                <w:kern w:val="0"/>
                <w:szCs w:val="21"/>
                <w:highlight w:val="none"/>
              </w:rPr>
              <w:t>维护支出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1.“三同时”要求</w:t>
            </w:r>
            <w:r>
              <w:rPr>
                <w:rFonts w:ascii="宋体" w:hAnsi="宋体" w:eastAsia="宋体"/>
                <w:color w:val="auto"/>
                <w:szCs w:val="21"/>
                <w:highlight w:val="none"/>
              </w:rPr>
              <w:t>初期投入的安全设施</w:t>
            </w:r>
            <w:r>
              <w:rPr>
                <w:rFonts w:hint="eastAsia" w:ascii="宋体" w:hAnsi="宋体" w:eastAsia="宋体"/>
                <w:color w:val="auto"/>
                <w:szCs w:val="21"/>
                <w:highlight w:val="none"/>
              </w:rPr>
              <w:t>支出</w:t>
            </w:r>
            <w:r>
              <w:rPr>
                <w:rFonts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w:t>
            </w:r>
            <w:r>
              <w:rPr>
                <w:rFonts w:ascii="宋体" w:hAnsi="宋体" w:eastAsia="宋体"/>
                <w:color w:val="auto"/>
                <w:szCs w:val="21"/>
                <w:highlight w:val="none"/>
              </w:rPr>
              <w:t>.</w:t>
            </w:r>
            <w:r>
              <w:rPr>
                <w:rFonts w:hint="eastAsia" w:ascii="宋体" w:hAnsi="宋体" w:eastAsia="宋体"/>
                <w:color w:val="auto"/>
                <w:szCs w:val="21"/>
                <w:highlight w:val="none"/>
              </w:rPr>
              <w:t>生产类装置及通用附件的完善、改造和维护支出；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s="宋体"/>
                <w:color w:val="auto"/>
                <w:kern w:val="0"/>
                <w:szCs w:val="21"/>
                <w:highlight w:val="none"/>
              </w:rPr>
              <w:t>3.</w:t>
            </w:r>
            <w:r>
              <w:rPr>
                <w:rFonts w:hint="eastAsia" w:ascii="宋体" w:hAnsi="宋体" w:eastAsia="宋体" w:cs="宋体"/>
                <w:color w:val="auto"/>
                <w:kern w:val="0"/>
                <w:szCs w:val="21"/>
                <w:highlight w:val="none"/>
              </w:rPr>
              <w:t>环保用防控粉尘等设施设备的</w:t>
            </w:r>
            <w:r>
              <w:rPr>
                <w:rFonts w:hint="eastAsia" w:ascii="宋体" w:hAnsi="宋体" w:eastAsia="宋体"/>
                <w:color w:val="auto"/>
                <w:szCs w:val="21"/>
                <w:highlight w:val="none"/>
              </w:rPr>
              <w:t>支出</w:t>
            </w:r>
            <w:r>
              <w:rPr>
                <w:rFonts w:hint="eastAsia" w:ascii="宋体" w:hAnsi="宋体" w:eastAsia="宋体" w:cs="宋体"/>
                <w:color w:val="auto"/>
                <w:kern w:val="0"/>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s="宋体"/>
                <w:color w:val="auto"/>
                <w:kern w:val="0"/>
                <w:szCs w:val="21"/>
                <w:highlight w:val="none"/>
              </w:rPr>
              <w:t>应急能力建设支出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1.应急</w:t>
            </w:r>
            <w:r>
              <w:rPr>
                <w:rFonts w:ascii="宋体" w:hAnsi="宋体" w:eastAsia="宋体"/>
                <w:color w:val="auto"/>
                <w:szCs w:val="21"/>
                <w:highlight w:val="none"/>
              </w:rPr>
              <w:t>救援</w:t>
            </w:r>
            <w:r>
              <w:rPr>
                <w:rFonts w:hint="eastAsia" w:ascii="宋体" w:hAnsi="宋体" w:eastAsia="宋体"/>
                <w:color w:val="auto"/>
                <w:szCs w:val="21"/>
                <w:highlight w:val="none"/>
              </w:rPr>
              <w:t>人员工资</w:t>
            </w:r>
            <w:r>
              <w:rPr>
                <w:rFonts w:ascii="宋体" w:hAnsi="宋体" w:eastAsia="宋体"/>
                <w:color w:val="auto"/>
                <w:szCs w:val="21"/>
                <w:highlight w:val="none"/>
              </w:rPr>
              <w:t>及劳务费</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2.新建应急救援基地，新建应急中心；</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外援救护服务支出，如应急救援协议年费、外协医疗急救服务年费；</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生产安全事故发生后的应急处置、现场清理、人员接待、伤害赔偿与补助、抚恤金、罚款等费用。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36"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重大危险源</w:t>
            </w:r>
            <w:r>
              <w:rPr>
                <w:rFonts w:ascii="宋体" w:hAnsi="宋体" w:eastAsia="宋体"/>
                <w:color w:val="auto"/>
                <w:szCs w:val="21"/>
                <w:highlight w:val="none"/>
              </w:rPr>
              <w:t>检测、评估、监控，安全风险分级管控</w:t>
            </w:r>
            <w:r>
              <w:rPr>
                <w:rFonts w:hint="eastAsia" w:ascii="宋体" w:hAnsi="宋体" w:eastAsia="宋体"/>
                <w:color w:val="auto"/>
                <w:szCs w:val="21"/>
                <w:highlight w:val="none"/>
              </w:rPr>
              <w:t>和</w:t>
            </w:r>
            <w:r>
              <w:rPr>
                <w:rFonts w:ascii="宋体" w:hAnsi="宋体" w:eastAsia="宋体"/>
                <w:color w:val="auto"/>
                <w:szCs w:val="21"/>
                <w:highlight w:val="none"/>
              </w:rPr>
              <w:t>事故隐患排查整改</w:t>
            </w:r>
            <w:r>
              <w:rPr>
                <w:rFonts w:hint="eastAsia" w:ascii="宋体" w:hAnsi="宋体" w:eastAsia="宋体"/>
                <w:color w:val="auto"/>
                <w:szCs w:val="21"/>
                <w:highlight w:val="none"/>
              </w:rPr>
              <w:t>，</w:t>
            </w:r>
            <w:r>
              <w:rPr>
                <w:rFonts w:ascii="宋体" w:hAnsi="宋体" w:eastAsia="宋体"/>
                <w:color w:val="auto"/>
                <w:szCs w:val="21"/>
                <w:highlight w:val="none"/>
              </w:rPr>
              <w:t>安全</w:t>
            </w:r>
            <w:r>
              <w:rPr>
                <w:rFonts w:hint="eastAsia" w:ascii="宋体" w:hAnsi="宋体" w:eastAsia="宋体"/>
                <w:color w:val="auto"/>
                <w:szCs w:val="21"/>
                <w:highlight w:val="none"/>
              </w:rPr>
              <w:t>生产</w:t>
            </w:r>
            <w:r>
              <w:rPr>
                <w:rFonts w:ascii="宋体" w:hAnsi="宋体" w:eastAsia="宋体"/>
                <w:color w:val="auto"/>
                <w:szCs w:val="21"/>
                <w:highlight w:val="none"/>
              </w:rPr>
              <w:t>信息化建设</w:t>
            </w:r>
            <w:r>
              <w:rPr>
                <w:rFonts w:hint="eastAsia" w:ascii="宋体" w:hAnsi="宋体" w:eastAsia="宋体" w:cs="宋体"/>
                <w:color w:val="auto"/>
                <w:kern w:val="0"/>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1.重大危险源起火、爆炸、毒气泄漏等事故发生后的救援、善后处理等费用；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36"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水电站大坝重大隐患除险加固支出；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36"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燃煤发电厂贮灰场重大隐患除险加固治理支出；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637"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4.</w:t>
            </w:r>
            <w:r>
              <w:rPr>
                <w:rFonts w:hint="eastAsia" w:ascii="宋体" w:hAnsi="宋体" w:eastAsia="宋体"/>
                <w:color w:val="auto"/>
                <w:szCs w:val="21"/>
                <w:highlight w:val="none"/>
              </w:rPr>
              <w:t>用于监控设备运行状态的视频设施安装后委托第三方</w:t>
            </w:r>
            <w:r>
              <w:rPr>
                <w:rFonts w:ascii="宋体" w:hAnsi="宋体" w:eastAsia="宋体"/>
                <w:color w:val="auto"/>
                <w:szCs w:val="21"/>
                <w:highlight w:val="none"/>
              </w:rPr>
              <w:t>实时监控</w:t>
            </w:r>
            <w:r>
              <w:rPr>
                <w:rFonts w:hint="eastAsia" w:ascii="宋体" w:hAnsi="宋体" w:eastAsia="宋体"/>
                <w:color w:val="auto"/>
                <w:szCs w:val="21"/>
                <w:highlight w:val="none"/>
              </w:rPr>
              <w:t>运营支出。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安全检查、评价、</w:t>
            </w:r>
            <w:r>
              <w:rPr>
                <w:rFonts w:ascii="宋体" w:hAnsi="宋体" w:eastAsia="宋体"/>
                <w:color w:val="auto"/>
                <w:szCs w:val="21"/>
                <w:highlight w:val="none"/>
              </w:rPr>
              <w:t>咨询</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1.新建、改建、扩建项目安全评价费用；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2</w:t>
            </w:r>
            <w:r>
              <w:rPr>
                <w:rFonts w:hint="eastAsia" w:ascii="宋体" w:hAnsi="宋体" w:eastAsia="宋体"/>
                <w:color w:val="auto"/>
                <w:szCs w:val="21"/>
                <w:highlight w:val="none"/>
              </w:rPr>
              <w:t>.与</w:t>
            </w:r>
            <w:r>
              <w:rPr>
                <w:rFonts w:ascii="宋体" w:hAnsi="宋体" w:eastAsia="宋体"/>
                <w:color w:val="auto"/>
                <w:szCs w:val="21"/>
                <w:highlight w:val="none"/>
              </w:rPr>
              <w:t>安全生产</w:t>
            </w:r>
            <w:r>
              <w:rPr>
                <w:rFonts w:hint="eastAsia" w:ascii="宋体" w:hAnsi="宋体" w:eastAsia="宋体"/>
                <w:color w:val="auto"/>
                <w:szCs w:val="21"/>
                <w:highlight w:val="none"/>
              </w:rPr>
              <w:t>无</w:t>
            </w:r>
            <w:r>
              <w:rPr>
                <w:rFonts w:ascii="宋体" w:hAnsi="宋体" w:eastAsia="宋体"/>
                <w:color w:val="auto"/>
                <w:szCs w:val="21"/>
                <w:highlight w:val="none"/>
              </w:rPr>
              <w:t>直接相关的</w:t>
            </w:r>
            <w:r>
              <w:rPr>
                <w:rFonts w:hint="eastAsia" w:ascii="宋体" w:hAnsi="宋体" w:eastAsia="宋体"/>
                <w:color w:val="auto"/>
                <w:szCs w:val="21"/>
                <w:highlight w:val="none"/>
              </w:rPr>
              <w:t>体系审核、报告审核、专家工时费用等服务支出。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现场作业人员安全防护用品支出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1.职工防寒、防暑物品以及普通工作服、洗护用品等劳保用品支出（按照《个体防护装备配备规范》（</w:t>
            </w:r>
            <w:r>
              <w:rPr>
                <w:rFonts w:ascii="宋体" w:hAnsi="宋体" w:eastAsia="宋体"/>
                <w:color w:val="auto"/>
                <w:szCs w:val="21"/>
                <w:highlight w:val="none"/>
              </w:rPr>
              <w:t>GB39800</w:t>
            </w:r>
            <w:r>
              <w:rPr>
                <w:rFonts w:hint="eastAsia" w:ascii="宋体" w:hAnsi="宋体" w:eastAsia="宋体"/>
                <w:color w:val="auto"/>
                <w:szCs w:val="21"/>
                <w:highlight w:val="none"/>
              </w:rPr>
              <w:t>）</w:t>
            </w:r>
            <w:r>
              <w:rPr>
                <w:rFonts w:ascii="宋体" w:hAnsi="宋体" w:eastAsia="宋体"/>
                <w:color w:val="auto"/>
                <w:szCs w:val="21"/>
                <w:highlight w:val="none"/>
              </w:rPr>
              <w:t>要求为现场作业人员配备使用的防护用品</w:t>
            </w:r>
            <w:r>
              <w:rPr>
                <w:rFonts w:hint="eastAsia" w:ascii="宋体" w:hAnsi="宋体" w:eastAsia="宋体"/>
                <w:color w:val="auto"/>
                <w:szCs w:val="21"/>
                <w:highlight w:val="none"/>
              </w:rPr>
              <w:t>支出除外）；</w:t>
            </w:r>
            <w:r>
              <w:rPr>
                <w:rFonts w:ascii="宋体" w:hAnsi="宋体" w:eastAsia="宋体"/>
                <w:color w:val="auto"/>
                <w:szCs w:val="21"/>
                <w:highlight w:val="none"/>
              </w:rPr>
              <w:t xml:space="preserve"> </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color w:val="auto"/>
                <w:kern w:val="0"/>
                <w:szCs w:val="21"/>
                <w:highlight w:val="none"/>
              </w:rPr>
            </w:pPr>
            <w:r>
              <w:rPr>
                <w:rFonts w:ascii="宋体" w:hAnsi="宋体" w:eastAsia="宋体" w:cs="宋体"/>
                <w:color w:val="auto"/>
                <w:kern w:val="0"/>
                <w:szCs w:val="21"/>
                <w:highlight w:val="none"/>
              </w:rPr>
              <w:t>2</w:t>
            </w:r>
            <w:r>
              <w:rPr>
                <w:rFonts w:hint="eastAsia" w:ascii="宋体" w:hAnsi="宋体" w:eastAsia="宋体" w:cs="宋体"/>
                <w:color w:val="auto"/>
                <w:kern w:val="0"/>
                <w:szCs w:val="21"/>
                <w:highlight w:val="none"/>
              </w:rPr>
              <w:t>.防疫物资购置支出。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w:t>
            </w:r>
            <w:r>
              <w:rPr>
                <w:rFonts w:hint="eastAsia" w:ascii="宋体" w:hAnsi="宋体" w:eastAsia="宋体"/>
                <w:color w:val="auto"/>
                <w:szCs w:val="21"/>
                <w:highlight w:val="none"/>
              </w:rPr>
              <w:t>宣教培训支出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企业</w:t>
            </w:r>
            <w:r>
              <w:rPr>
                <w:rFonts w:ascii="宋体" w:hAnsi="宋体" w:eastAsia="宋体"/>
                <w:color w:val="auto"/>
                <w:szCs w:val="21"/>
                <w:highlight w:val="none"/>
              </w:rPr>
              <w:t>负责人、</w:t>
            </w:r>
            <w:r>
              <w:rPr>
                <w:rFonts w:hint="eastAsia" w:ascii="宋体" w:hAnsi="宋体" w:eastAsia="宋体"/>
                <w:color w:val="auto"/>
                <w:szCs w:val="21"/>
                <w:highlight w:val="none"/>
              </w:rPr>
              <w:t>安全生产管理人员、</w:t>
            </w:r>
            <w:r>
              <w:rPr>
                <w:rFonts w:ascii="宋体" w:hAnsi="宋体" w:eastAsia="宋体"/>
                <w:color w:val="auto"/>
                <w:szCs w:val="21"/>
                <w:highlight w:val="none"/>
              </w:rPr>
              <w:t>特种设备作业人员</w:t>
            </w:r>
            <w:r>
              <w:rPr>
                <w:rFonts w:hint="eastAsia" w:ascii="宋体" w:hAnsi="宋体" w:eastAsia="宋体"/>
                <w:color w:val="auto"/>
                <w:szCs w:val="21"/>
                <w:highlight w:val="none"/>
              </w:rPr>
              <w:t>参加</w:t>
            </w:r>
            <w:r>
              <w:rPr>
                <w:rFonts w:ascii="宋体" w:hAnsi="宋体" w:eastAsia="宋体"/>
                <w:color w:val="auto"/>
                <w:szCs w:val="21"/>
                <w:highlight w:val="none"/>
              </w:rPr>
              <w:t>非安全生产</w:t>
            </w:r>
            <w:r>
              <w:rPr>
                <w:rFonts w:hint="eastAsia" w:ascii="宋体" w:hAnsi="宋体" w:eastAsia="宋体"/>
                <w:color w:val="auto"/>
                <w:szCs w:val="21"/>
                <w:highlight w:val="none"/>
              </w:rPr>
              <w:t>相关</w:t>
            </w:r>
            <w:r>
              <w:rPr>
                <w:rFonts w:ascii="宋体" w:hAnsi="宋体" w:eastAsia="宋体"/>
                <w:color w:val="auto"/>
                <w:szCs w:val="21"/>
                <w:highlight w:val="none"/>
              </w:rPr>
              <w:t>的</w:t>
            </w:r>
            <w:r>
              <w:rPr>
                <w:rFonts w:hint="eastAsia" w:ascii="宋体" w:hAnsi="宋体" w:eastAsia="宋体"/>
                <w:color w:val="auto"/>
                <w:szCs w:val="21"/>
                <w:highlight w:val="none"/>
              </w:rPr>
              <w:t>岗前培训费、考试费、办证费等费用。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安全“四新”推广应用支出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“四新”（新技术、新标准、新工艺、新设备）的研究、开发等前期费用。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安全设施、特种设备检测检验、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汽车起重机、随车吊、高空作业车、斗臂车等普通机械设备检测检验、</w:t>
            </w:r>
            <w:r>
              <w:rPr>
                <w:rFonts w:ascii="宋体" w:hAnsi="宋体" w:eastAsia="宋体"/>
                <w:color w:val="auto"/>
                <w:szCs w:val="21"/>
                <w:highlight w:val="none"/>
              </w:rPr>
              <w:t>检定校准</w:t>
            </w:r>
            <w:r>
              <w:rPr>
                <w:rFonts w:hint="eastAsia" w:ascii="宋体" w:hAnsi="宋体" w:eastAsia="宋体"/>
                <w:color w:val="auto"/>
                <w:szCs w:val="21"/>
                <w:highlight w:val="none"/>
              </w:rPr>
              <w:t>费用。</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安全</w:t>
            </w:r>
            <w:r>
              <w:rPr>
                <w:rFonts w:ascii="宋体" w:hAnsi="宋体" w:eastAsia="宋体"/>
                <w:color w:val="auto"/>
                <w:szCs w:val="21"/>
                <w:highlight w:val="none"/>
              </w:rPr>
              <w:t>生产责任</w:t>
            </w:r>
            <w:r>
              <w:rPr>
                <w:rFonts w:hint="eastAsia" w:ascii="宋体" w:hAnsi="宋体" w:eastAsia="宋体"/>
                <w:color w:val="auto"/>
                <w:szCs w:val="21"/>
                <w:highlight w:val="none"/>
              </w:rPr>
              <w:t>保</w:t>
            </w:r>
            <w:r>
              <w:rPr>
                <w:rFonts w:ascii="宋体" w:hAnsi="宋体" w:eastAsia="宋体"/>
                <w:color w:val="auto"/>
                <w:szCs w:val="21"/>
                <w:highlight w:val="none"/>
              </w:rPr>
              <w:t>险支出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法定</w:t>
            </w:r>
            <w:r>
              <w:rPr>
                <w:rFonts w:ascii="宋体" w:hAnsi="宋体" w:eastAsia="宋体"/>
                <w:color w:val="auto"/>
                <w:szCs w:val="21"/>
                <w:highlight w:val="none"/>
              </w:rPr>
              <w:t>安全生产责任保险</w:t>
            </w:r>
            <w:r>
              <w:rPr>
                <w:rFonts w:hint="eastAsia" w:ascii="宋体" w:hAnsi="宋体" w:eastAsia="宋体"/>
                <w:color w:val="auto"/>
                <w:szCs w:val="21"/>
                <w:highlight w:val="none"/>
              </w:rPr>
              <w:t>之外的</w:t>
            </w:r>
            <w:r>
              <w:rPr>
                <w:rFonts w:ascii="宋体" w:hAnsi="宋体" w:eastAsia="宋体"/>
                <w:color w:val="auto"/>
                <w:szCs w:val="21"/>
                <w:highlight w:val="none"/>
              </w:rPr>
              <w:t>其他保险费用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其它直接相关支出</w:t>
            </w: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1</w:t>
            </w:r>
            <w:r>
              <w:rPr>
                <w:rFonts w:hint="eastAsia" w:ascii="宋体" w:hAnsi="宋体" w:eastAsia="宋体"/>
                <w:color w:val="auto"/>
                <w:szCs w:val="21"/>
                <w:highlight w:val="none"/>
              </w:rPr>
              <w:t>.专职或</w:t>
            </w:r>
            <w:r>
              <w:rPr>
                <w:rFonts w:ascii="宋体" w:hAnsi="宋体" w:eastAsia="宋体"/>
                <w:color w:val="auto"/>
                <w:szCs w:val="21"/>
                <w:highlight w:val="none"/>
              </w:rPr>
              <w:t>兼职安全管理人员薪酬</w:t>
            </w:r>
            <w:r>
              <w:rPr>
                <w:rFonts w:hint="eastAsia" w:ascii="宋体" w:hAnsi="宋体" w:eastAsia="宋体"/>
                <w:color w:val="auto"/>
                <w:szCs w:val="21"/>
                <w:highlight w:val="none"/>
              </w:rPr>
              <w:t>、</w:t>
            </w:r>
            <w:r>
              <w:rPr>
                <w:rFonts w:ascii="宋体" w:hAnsi="宋体" w:eastAsia="宋体"/>
                <w:color w:val="auto"/>
                <w:szCs w:val="21"/>
                <w:highlight w:val="none"/>
              </w:rPr>
              <w:t>社保和岗位风险津贴</w:t>
            </w:r>
            <w:r>
              <w:rPr>
                <w:rFonts w:hint="eastAsia" w:ascii="宋体" w:hAnsi="宋体" w:eastAsia="宋体"/>
                <w:color w:val="auto"/>
                <w:szCs w:val="21"/>
                <w:highlight w:val="none"/>
              </w:rPr>
              <w:t>，保安岗位人员</w:t>
            </w:r>
            <w:r>
              <w:rPr>
                <w:rFonts w:ascii="宋体" w:hAnsi="宋体" w:eastAsia="宋体"/>
                <w:color w:val="auto"/>
                <w:szCs w:val="21"/>
                <w:highlight w:val="none"/>
              </w:rPr>
              <w:t>工资；</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hint="eastAsia" w:ascii="宋体" w:hAnsi="宋体" w:eastAsia="宋体"/>
                <w:color w:val="auto"/>
                <w:szCs w:val="21"/>
                <w:highlight w:val="none"/>
              </w:rPr>
              <w:t>2.从业人员发现并报告事故隐患奖励之外的安全生产考核奖励支出；</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r>
              <w:rPr>
                <w:rFonts w:ascii="宋体" w:hAnsi="宋体" w:eastAsia="宋体"/>
                <w:color w:val="auto"/>
                <w:szCs w:val="21"/>
                <w:highlight w:val="none"/>
              </w:rPr>
              <w:t>3</w:t>
            </w:r>
            <w:r>
              <w:rPr>
                <w:rFonts w:hint="eastAsia" w:ascii="宋体" w:hAnsi="宋体" w:eastAsia="宋体"/>
                <w:color w:val="auto"/>
                <w:szCs w:val="21"/>
                <w:highlight w:val="none"/>
              </w:rPr>
              <w:t>.职业病危害因素检测、</w:t>
            </w:r>
            <w:r>
              <w:rPr>
                <w:rFonts w:hint="eastAsia" w:ascii="宋体" w:hAnsi="宋体" w:eastAsia="宋体" w:cs="宋体"/>
                <w:color w:val="auto"/>
                <w:kern w:val="0"/>
                <w:szCs w:val="21"/>
                <w:highlight w:val="none"/>
              </w:rPr>
              <w:t>职业健康体检以及职业病诊断、鉴定、治疗、康复费用</w:t>
            </w:r>
            <w:r>
              <w:rPr>
                <w:rFonts w:hint="eastAsia" w:ascii="宋体" w:hAnsi="宋体" w:eastAsia="宋体"/>
                <w:color w:val="auto"/>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2" w:space="0"/>
            <w:insideV w:val="single" w:color="auto" w:sz="2" w:space="0"/>
          </w:tblBorders>
          <w:tblCellMar>
            <w:top w:w="0" w:type="dxa"/>
            <w:left w:w="108" w:type="dxa"/>
            <w:bottom w:w="0" w:type="dxa"/>
            <w:right w:w="108" w:type="dxa"/>
          </w:tblCellMar>
        </w:tblPrEx>
        <w:trPr>
          <w:trHeight w:val="369" w:hRule="atLeast"/>
          <w:jc w:val="center"/>
        </w:trPr>
        <w:tc>
          <w:tcPr>
            <w:tcW w:w="866" w:type="pct"/>
            <w:vMerge w:val="continue"/>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olor w:val="auto"/>
                <w:szCs w:val="21"/>
                <w:highlight w:val="none"/>
              </w:rPr>
            </w:pPr>
          </w:p>
        </w:tc>
        <w:tc>
          <w:tcPr>
            <w:tcW w:w="4134" w:type="pct"/>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ascii="宋体" w:hAnsi="宋体" w:eastAsia="宋体" w:cs="宋体"/>
                <w:bCs/>
                <w:color w:val="auto"/>
                <w:szCs w:val="21"/>
                <w:highlight w:val="none"/>
              </w:rPr>
            </w:pPr>
            <w:r>
              <w:rPr>
                <w:rFonts w:hint="eastAsia" w:ascii="宋体" w:hAnsi="宋体" w:eastAsia="宋体"/>
                <w:color w:val="auto"/>
                <w:szCs w:val="21"/>
                <w:highlight w:val="none"/>
              </w:rPr>
              <w:t>4.</w:t>
            </w:r>
            <w:r>
              <w:rPr>
                <w:rFonts w:hint="eastAsia" w:ascii="宋体" w:hAnsi="宋体" w:eastAsia="宋体" w:cs="宋体"/>
                <w:color w:val="auto"/>
                <w:kern w:val="0"/>
                <w:szCs w:val="21"/>
                <w:highlight w:val="none"/>
              </w:rPr>
              <w:t>企业生产经营过程中的费用，与安全生产无直接相关的生产设备、运行成本等。</w:t>
            </w:r>
          </w:p>
        </w:tc>
      </w:tr>
    </w:tbl>
    <w:p>
      <w:pPr>
        <w:keepNext w:val="0"/>
        <w:keepLines w:val="0"/>
        <w:pageBreakBefore w:val="0"/>
        <w:widowControl w:val="0"/>
        <w:kinsoku/>
        <w:wordWrap/>
        <w:overflowPunct/>
        <w:topLinePunct w:val="0"/>
        <w:bidi w:val="0"/>
        <w:spacing w:line="560" w:lineRule="exact"/>
        <w:ind w:firstLine="421" w:firstLineChars="200"/>
        <w:rPr>
          <w:rFonts w:ascii="楷体" w:hAnsi="楷体" w:eastAsia="楷体" w:cs="宋体"/>
          <w:bCs/>
          <w:color w:val="auto"/>
          <w:kern w:val="0"/>
          <w:szCs w:val="21"/>
          <w:highlight w:val="none"/>
        </w:rPr>
      </w:pPr>
      <w:r>
        <w:rPr>
          <w:rFonts w:hint="eastAsia" w:ascii="楷体" w:hAnsi="楷体" w:eastAsia="楷体" w:cs="宋体"/>
          <w:b/>
          <w:bCs/>
          <w:color w:val="auto"/>
          <w:kern w:val="0"/>
          <w:szCs w:val="21"/>
          <w:highlight w:val="none"/>
        </w:rPr>
        <w:t>注</w:t>
      </w:r>
      <w:r>
        <w:rPr>
          <w:rFonts w:ascii="楷体" w:hAnsi="楷体" w:eastAsia="楷体" w:cs="宋体"/>
          <w:b/>
          <w:bCs/>
          <w:color w:val="auto"/>
          <w:kern w:val="0"/>
          <w:szCs w:val="21"/>
          <w:highlight w:val="none"/>
        </w:rPr>
        <w:t>：</w:t>
      </w:r>
      <w:r>
        <w:rPr>
          <w:rFonts w:hint="eastAsia" w:ascii="楷体" w:hAnsi="楷体" w:eastAsia="楷体" w:cs="宋体"/>
          <w:bCs/>
          <w:color w:val="auto"/>
          <w:kern w:val="0"/>
          <w:szCs w:val="21"/>
          <w:highlight w:val="none"/>
        </w:rPr>
        <w:t>以上清单支出范围不应列入电力生产与供应企业安全生产费用，需要按原有费用渠道列支和管理。</w:t>
      </w:r>
    </w:p>
    <w:bookmarkEnd w:id="32"/>
    <w:p>
      <w:pPr>
        <w:pStyle w:val="3"/>
        <w:keepNext w:val="0"/>
        <w:keepLines w:val="0"/>
        <w:pageBreakBefore w:val="0"/>
        <w:widowControl w:val="0"/>
        <w:kinsoku/>
        <w:wordWrap/>
        <w:overflowPunct/>
        <w:topLinePunct w:val="0"/>
        <w:bidi w:val="0"/>
        <w:spacing w:before="0" w:after="0" w:line="560" w:lineRule="exact"/>
        <w:jc w:val="center"/>
        <w:rPr>
          <w:rFonts w:hint="eastAsia"/>
          <w:color w:val="auto"/>
          <w:sz w:val="36"/>
          <w:szCs w:val="36"/>
          <w:highlight w:val="none"/>
        </w:rPr>
      </w:pPr>
      <w:bookmarkStart w:id="33" w:name="_Toc147996034"/>
      <w:bookmarkStart w:id="34" w:name="_Toc152145220"/>
      <w:r>
        <w:rPr>
          <w:rFonts w:hint="eastAsia"/>
          <w:color w:val="auto"/>
          <w:sz w:val="36"/>
          <w:szCs w:val="36"/>
          <w:highlight w:val="none"/>
        </w:rPr>
        <w:t>第三章  企业安全生产费用的管理和监督</w:t>
      </w:r>
      <w:bookmarkEnd w:id="33"/>
      <w:bookmarkEnd w:id="34"/>
    </w:p>
    <w:p>
      <w:pPr>
        <w:pStyle w:val="3"/>
        <w:keepNext w:val="0"/>
        <w:keepLines w:val="0"/>
        <w:pageBreakBefore w:val="0"/>
        <w:widowControl w:val="0"/>
        <w:kinsoku/>
        <w:wordWrap/>
        <w:overflowPunct/>
        <w:topLinePunct w:val="0"/>
        <w:bidi w:val="0"/>
        <w:spacing w:before="0" w:after="0" w:line="560" w:lineRule="exact"/>
        <w:jc w:val="center"/>
        <w:rPr>
          <w:rFonts w:hint="eastAsia" w:ascii="仿宋_GB2312" w:hAnsi="楷体" w:eastAsia="仿宋_GB2312" w:cs="宋体"/>
          <w:color w:val="auto"/>
          <w:sz w:val="32"/>
          <w:szCs w:val="32"/>
          <w:highlight w:val="none"/>
        </w:rPr>
      </w:pP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hint="eastAsia" w:ascii="仿宋_GB2312" w:hAnsi="楷体" w:eastAsia="仿宋_GB2312" w:cs="宋体"/>
          <w:b w:val="0"/>
          <w:bCs w:val="0"/>
          <w:color w:val="auto"/>
          <w:sz w:val="32"/>
          <w:szCs w:val="32"/>
          <w:highlight w:val="none"/>
        </w:rPr>
      </w:pPr>
      <w:r>
        <w:rPr>
          <w:rFonts w:hint="eastAsia" w:ascii="仿宋_GB2312" w:hAnsi="楷体" w:eastAsia="仿宋_GB2312" w:cs="宋体"/>
          <w:b w:val="0"/>
          <w:bCs w:val="0"/>
          <w:color w:val="auto"/>
          <w:sz w:val="32"/>
          <w:szCs w:val="32"/>
          <w:highlight w:val="none"/>
        </w:rPr>
        <w:t>【解读】</w:t>
      </w: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hint="eastAsia" w:ascii="仿宋_GB2312" w:hAnsi="楷体" w:eastAsia="仿宋_GB2312" w:cs="宋体"/>
          <w:b w:val="0"/>
          <w:bCs w:val="0"/>
          <w:color w:val="auto"/>
          <w:sz w:val="32"/>
          <w:szCs w:val="32"/>
          <w:highlight w:val="none"/>
        </w:rPr>
      </w:pPr>
      <w:r>
        <w:rPr>
          <w:rFonts w:hint="eastAsia" w:ascii="仿宋_GB2312" w:hAnsi="楷体" w:eastAsia="仿宋_GB2312" w:cs="宋体"/>
          <w:b w:val="0"/>
          <w:bCs w:val="0"/>
          <w:color w:val="auto"/>
          <w:sz w:val="32"/>
          <w:szCs w:val="32"/>
          <w:highlight w:val="none"/>
        </w:rPr>
        <w:t>本章基于原办法第四章监督管理修订，针对基层单位提出的制度办法“执行难、监督难”的问题，明确了企业安全生产费用提取和使用的责任以及有关监管部门的监督责任。</w:t>
      </w:r>
    </w:p>
    <w:p>
      <w:pPr>
        <w:pStyle w:val="3"/>
        <w:keepNext w:val="0"/>
        <w:keepLines w:val="0"/>
        <w:pageBreakBefore w:val="0"/>
        <w:widowControl w:val="0"/>
        <w:kinsoku/>
        <w:wordWrap/>
        <w:overflowPunct/>
        <w:topLinePunct w:val="0"/>
        <w:bidi w:val="0"/>
        <w:spacing w:before="0" w:after="0" w:line="560" w:lineRule="exact"/>
        <w:ind w:firstLine="642" w:firstLineChars="200"/>
        <w:jc w:val="both"/>
        <w:rPr>
          <w:rFonts w:hint="eastAsia" w:ascii="仿宋_GB2312" w:hAnsi="仿宋" w:eastAsia="仿宋_GB2312" w:cs="宋体"/>
          <w:b/>
          <w:color w:val="auto"/>
          <w:sz w:val="32"/>
          <w:szCs w:val="32"/>
          <w:highlight w:val="none"/>
        </w:rPr>
      </w:pPr>
      <w:r>
        <w:rPr>
          <w:rFonts w:hint="eastAsia" w:ascii="黑体" w:hAnsi="黑体" w:eastAsia="黑体"/>
          <w:bCs/>
          <w:color w:val="auto"/>
          <w:kern w:val="44"/>
          <w:sz w:val="32"/>
          <w:szCs w:val="32"/>
          <w:highlight w:val="none"/>
        </w:rPr>
        <w:t>第四十五条</w:t>
      </w:r>
      <w:r>
        <w:rPr>
          <w:rFonts w:hint="eastAsia" w:ascii="仿宋_GB2312" w:hAnsi="仿宋" w:eastAsia="仿宋_GB2312" w:cs="宋体"/>
          <w:bCs/>
          <w:color w:val="auto"/>
          <w:sz w:val="32"/>
          <w:szCs w:val="32"/>
          <w:highlight w:val="none"/>
        </w:rPr>
        <w:t xml:space="preserve"> </w:t>
      </w:r>
      <w:r>
        <w:rPr>
          <w:rFonts w:hint="eastAsia" w:ascii="仿宋_GB2312" w:hAnsi="仿宋" w:eastAsia="仿宋_GB2312" w:cs="宋体"/>
          <w:b/>
          <w:color w:val="auto"/>
          <w:sz w:val="32"/>
          <w:szCs w:val="32"/>
          <w:highlight w:val="none"/>
        </w:rPr>
        <w:t>企业应当建立健全内部企业安全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费用管理制度，明确企业安全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费用提取和使用的程序、职责及权限，落实责任，确保按规定提取和使用企业安全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w:t>
      </w: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hint="eastAsia" w:ascii="仿宋_GB2312" w:hAnsi="楷体" w:eastAsia="仿宋_GB2312" w:cs="宋体"/>
          <w:b w:val="0"/>
          <w:bCs w:val="0"/>
          <w:color w:val="auto"/>
          <w:sz w:val="32"/>
          <w:szCs w:val="32"/>
          <w:highlight w:val="none"/>
        </w:rPr>
      </w:pPr>
      <w:r>
        <w:rPr>
          <w:rFonts w:hint="eastAsia" w:ascii="仿宋_GB2312" w:hAnsi="楷体" w:eastAsia="仿宋_GB2312" w:cs="宋体"/>
          <w:b w:val="0"/>
          <w:bCs w:val="0"/>
          <w:color w:val="auto"/>
          <w:sz w:val="32"/>
          <w:szCs w:val="32"/>
          <w:highlight w:val="none"/>
        </w:rPr>
        <w:t>【解读】</w:t>
      </w: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hint="eastAsia" w:ascii="仿宋_GB2312" w:hAnsi="楷体" w:eastAsia="仿宋_GB2312" w:cs="宋体"/>
          <w:b w:val="0"/>
          <w:bCs w:val="0"/>
          <w:color w:val="auto"/>
          <w:kern w:val="0"/>
          <w:sz w:val="32"/>
          <w:szCs w:val="32"/>
          <w:highlight w:val="none"/>
        </w:rPr>
      </w:pPr>
      <w:r>
        <w:rPr>
          <w:rFonts w:hint="eastAsia" w:ascii="仿宋_GB2312" w:hAnsi="楷体" w:eastAsia="仿宋_GB2312" w:cs="宋体"/>
          <w:b w:val="0"/>
          <w:bCs w:val="0"/>
          <w:color w:val="auto"/>
          <w:kern w:val="0"/>
          <w:sz w:val="32"/>
          <w:szCs w:val="32"/>
          <w:highlight w:val="none"/>
        </w:rPr>
        <w:t>本条是企业安全生产费用的制度建设规定。</w:t>
      </w: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hint="eastAsia" w:ascii="仿宋_GB2312" w:hAnsi="楷体" w:eastAsia="仿宋_GB2312" w:cs="宋体"/>
          <w:b w:val="0"/>
          <w:bCs w:val="0"/>
          <w:color w:val="auto"/>
          <w:sz w:val="32"/>
          <w:szCs w:val="32"/>
          <w:highlight w:val="none"/>
        </w:rPr>
      </w:pPr>
      <w:r>
        <w:rPr>
          <w:rFonts w:hint="eastAsia" w:ascii="仿宋_GB2312" w:hAnsi="楷体" w:eastAsia="仿宋_GB2312" w:cs="宋体"/>
          <w:b w:val="0"/>
          <w:bCs w:val="0"/>
          <w:color w:val="auto"/>
          <w:sz w:val="32"/>
          <w:szCs w:val="32"/>
          <w:highlight w:val="none"/>
        </w:rPr>
        <w:t>针对企业提取使用安全生产费用过程中出现的不规范、“无人管、不会管”等问题，办法要求企业建立健全内部安全生产费用管理制度，明确安全生产费用提取和使用的职责、程序等，确保规范提取和使用。</w:t>
      </w:r>
    </w:p>
    <w:p>
      <w:pPr>
        <w:pStyle w:val="3"/>
        <w:keepNext w:val="0"/>
        <w:keepLines w:val="0"/>
        <w:pageBreakBefore w:val="0"/>
        <w:widowControl w:val="0"/>
        <w:kinsoku/>
        <w:wordWrap/>
        <w:overflowPunct/>
        <w:topLinePunct w:val="0"/>
        <w:bidi w:val="0"/>
        <w:spacing w:before="0" w:after="0" w:line="560" w:lineRule="exact"/>
        <w:ind w:firstLine="642" w:firstLineChars="200"/>
        <w:jc w:val="both"/>
        <w:rPr>
          <w:rFonts w:hint="eastAsia" w:ascii="仿宋_GB2312" w:hAnsi="仿宋" w:eastAsia="仿宋_GB2312" w:cs="宋体"/>
          <w:b/>
          <w:color w:val="auto"/>
          <w:sz w:val="32"/>
          <w:szCs w:val="32"/>
          <w:highlight w:val="none"/>
        </w:rPr>
      </w:pPr>
      <w:r>
        <w:rPr>
          <w:rFonts w:hint="eastAsia" w:ascii="黑体" w:hAnsi="黑体" w:eastAsia="黑体"/>
          <w:bCs/>
          <w:color w:val="auto"/>
          <w:kern w:val="44"/>
          <w:sz w:val="32"/>
          <w:szCs w:val="32"/>
          <w:highlight w:val="none"/>
        </w:rPr>
        <w:t>第四十六条</w:t>
      </w:r>
      <w:r>
        <w:rPr>
          <w:rFonts w:hint="eastAsia" w:ascii="仿宋_GB2312" w:hAnsi="仿宋" w:eastAsia="仿宋_GB2312" w:cs="宋体"/>
          <w:bCs/>
          <w:color w:val="auto"/>
          <w:sz w:val="32"/>
          <w:szCs w:val="32"/>
          <w:highlight w:val="none"/>
        </w:rPr>
        <w:t xml:space="preserve"> </w:t>
      </w:r>
      <w:r>
        <w:rPr>
          <w:rFonts w:hint="eastAsia" w:ascii="仿宋_GB2312" w:hAnsi="仿宋" w:eastAsia="仿宋_GB2312" w:cs="宋体"/>
          <w:b/>
          <w:color w:val="auto"/>
          <w:sz w:val="32"/>
          <w:szCs w:val="32"/>
          <w:highlight w:val="none"/>
        </w:rPr>
        <w:t>企业应当加强安全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费用管理，编制年度企业安全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费用提取和使用计划，纳入企业财务预算，确保资金投入。</w:t>
      </w:r>
    </w:p>
    <w:p>
      <w:pPr>
        <w:pStyle w:val="3"/>
        <w:keepNext w:val="0"/>
        <w:keepLines w:val="0"/>
        <w:pageBreakBefore w:val="0"/>
        <w:widowControl w:val="0"/>
        <w:kinsoku/>
        <w:wordWrap/>
        <w:overflowPunct/>
        <w:topLinePunct w:val="0"/>
        <w:bidi w:val="0"/>
        <w:spacing w:before="0" w:after="0" w:line="560" w:lineRule="exact"/>
        <w:ind w:firstLine="640" w:firstLineChars="200"/>
        <w:jc w:val="both"/>
        <w:rPr>
          <w:rFonts w:ascii="仿宋_GB2312" w:hAnsi="楷体" w:eastAsia="仿宋_GB2312" w:cs="宋体"/>
          <w:b w:val="0"/>
          <w:bCs w:val="0"/>
          <w:color w:val="auto"/>
          <w:sz w:val="32"/>
          <w:szCs w:val="32"/>
          <w:highlight w:val="none"/>
        </w:rPr>
      </w:pPr>
      <w:r>
        <w:rPr>
          <w:rFonts w:hint="eastAsia" w:ascii="仿宋_GB2312" w:hAnsi="楷体" w:eastAsia="仿宋_GB2312" w:cs="宋体"/>
          <w:b w:val="0"/>
          <w:bCs w:val="0"/>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本条是企业安全生产费用的预算管理规定。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本条基于原办法第三十二条修订。企业安全生产投入需有计划、有步骤、有重点地进行，以有限的投入取得最大的经济效益，杜绝盲目无序投入的现象。因此，企业需要切实加强安全生产费用提取和使用管理，制定安全生产费用提取和使用计划，并纳入企业财务预算，确保资金投入。与原办法相比，删除了“企业年度安全费用使用计划和上一年安全费用的提取、使用情况按照管理权限报同级财政部门、安全生产监督管理部门、煤矿安全监察机构和行业主管部门备案”规定，落实“放管服”要求，推进政府职能转变。</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
          <w:color w:val="auto"/>
          <w:sz w:val="32"/>
          <w:szCs w:val="32"/>
          <w:highlight w:val="none"/>
        </w:rPr>
      </w:pPr>
      <w:r>
        <w:rPr>
          <w:rFonts w:hint="eastAsia" w:ascii="黑体" w:hAnsi="黑体" w:eastAsia="黑体"/>
          <w:bCs/>
          <w:color w:val="auto"/>
          <w:kern w:val="44"/>
          <w:sz w:val="32"/>
          <w:szCs w:val="32"/>
          <w:highlight w:val="none"/>
        </w:rPr>
        <w:t>第四十七条</w:t>
      </w:r>
      <w:r>
        <w:rPr>
          <w:rFonts w:hint="eastAsia" w:ascii="仿宋_GB2312" w:hAnsi="仿宋" w:eastAsia="仿宋_GB2312" w:cs="宋体"/>
          <w:bCs/>
          <w:color w:val="auto"/>
          <w:sz w:val="32"/>
          <w:szCs w:val="32"/>
          <w:highlight w:val="none"/>
        </w:rPr>
        <w:t xml:space="preserve"> </w:t>
      </w:r>
      <w:r>
        <w:rPr>
          <w:rFonts w:hint="eastAsia" w:ascii="仿宋_GB2312" w:hAnsi="仿宋" w:eastAsia="仿宋_GB2312" w:cs="宋体"/>
          <w:b/>
          <w:color w:val="auto"/>
          <w:sz w:val="32"/>
          <w:szCs w:val="32"/>
          <w:highlight w:val="none"/>
        </w:rPr>
        <w:t>企业提取的安全</w:t>
      </w:r>
      <w:r>
        <w:rPr>
          <w:rFonts w:hint="eastAsia" w:ascii="仿宋_GB2312" w:hAnsi="仿宋" w:eastAsia="仿宋_GB2312"/>
          <w:b/>
          <w:color w:val="auto"/>
          <w:sz w:val="32"/>
          <w:szCs w:val="32"/>
          <w:highlight w:val="none"/>
        </w:rPr>
        <w:t>生产</w:t>
      </w:r>
      <w:r>
        <w:rPr>
          <w:rFonts w:hint="eastAsia" w:ascii="仿宋_GB2312" w:hAnsi="仿宋" w:eastAsia="仿宋_GB2312" w:cs="宋体"/>
          <w:b/>
          <w:color w:val="auto"/>
          <w:sz w:val="32"/>
          <w:szCs w:val="32"/>
          <w:highlight w:val="none"/>
        </w:rPr>
        <w:t>费用</w:t>
      </w:r>
      <w:r>
        <w:rPr>
          <w:rFonts w:hint="eastAsia" w:ascii="仿宋_GB2312" w:hAnsi="仿宋" w:eastAsia="仿宋_GB2312"/>
          <w:b/>
          <w:color w:val="auto"/>
          <w:sz w:val="32"/>
          <w:szCs w:val="32"/>
          <w:highlight w:val="none"/>
        </w:rPr>
        <w:t>从成本（费用）中列支并专项核算。符合本办法规定的企业安全生产</w:t>
      </w:r>
      <w:r>
        <w:rPr>
          <w:rFonts w:hint="eastAsia" w:ascii="仿宋_GB2312" w:hAnsi="仿宋" w:eastAsia="仿宋_GB2312" w:cs="宋体"/>
          <w:b/>
          <w:color w:val="auto"/>
          <w:sz w:val="32"/>
          <w:szCs w:val="32"/>
          <w:highlight w:val="none"/>
        </w:rPr>
        <w:t>费用支出应当取得发票、收据、转账凭证等真实凭证。</w:t>
      </w:r>
    </w:p>
    <w:p>
      <w:pPr>
        <w:keepNext w:val="0"/>
        <w:keepLines w:val="0"/>
        <w:pageBreakBefore w:val="0"/>
        <w:widowControl w:val="0"/>
        <w:kinsoku/>
        <w:wordWrap/>
        <w:overflowPunct/>
        <w:topLinePunct w:val="0"/>
        <w:bidi w:val="0"/>
        <w:spacing w:line="560" w:lineRule="exact"/>
        <w:ind w:firstLine="645"/>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本企业职工薪酬、福利不得从企业安全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费用中支出。企业从业人员发现报告事故隐患的奖励支出从企业安全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费用中列支。</w:t>
      </w:r>
    </w:p>
    <w:p>
      <w:pPr>
        <w:keepNext w:val="0"/>
        <w:keepLines w:val="0"/>
        <w:pageBreakBefore w:val="0"/>
        <w:widowControl w:val="0"/>
        <w:kinsoku/>
        <w:wordWrap/>
        <w:overflowPunct/>
        <w:topLinePunct w:val="0"/>
        <w:bidi w:val="0"/>
        <w:spacing w:line="560" w:lineRule="exact"/>
        <w:ind w:firstLine="64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费用年度结余资金结转下年度使用。企业安全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费用出现赤字（即当年计提企业安全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费用加上年初结余小于年度实际支出）的，应当于年末补提企业安全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w:t>
      </w:r>
    </w:p>
    <w:p>
      <w:pPr>
        <w:keepNext w:val="0"/>
        <w:keepLines w:val="0"/>
        <w:pageBreakBefore w:val="0"/>
        <w:widowControl w:val="0"/>
        <w:kinsoku/>
        <w:wordWrap/>
        <w:overflowPunct/>
        <w:topLinePunct w:val="0"/>
        <w:bidi w:val="0"/>
        <w:spacing w:line="560" w:lineRule="exact"/>
        <w:ind w:firstLine="646"/>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本条是企业安全生产费用的核算管理规定。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二十七条修订。企业通过专项核算，准确归集、合理使用、真实反映安全生产费用提取和使用情况，不再对企业提出专户核算要求。鉴于不同类型行业企业支出凭证纷繁复杂，办法列举了发票、收据、转账凭证三类凭证，企业安全生产费用支出取得的其他类型凭证应能证实支出真实、金额准确、用途合规。</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企业安全生产费用是专门用于完善和改进企业或者项目安全生产条件的资金，企业生产经营过程中应支付职工的各种薪酬、福利不应当包括在内。为鼓励基层人员主动发现和报告事故隐患，本次修订将企业从业人员发现报告事故隐患的奖励支出纳入企业安全生产费用支出范围。</w:t>
      </w:r>
    </w:p>
    <w:p>
      <w:pPr>
        <w:keepNext w:val="0"/>
        <w:keepLines w:val="0"/>
        <w:pageBreakBefore w:val="0"/>
        <w:widowControl w:val="0"/>
        <w:kinsoku/>
        <w:wordWrap/>
        <w:overflowPunct/>
        <w:topLinePunct w:val="0"/>
        <w:bidi w:val="0"/>
        <w:spacing w:line="560" w:lineRule="exact"/>
        <w:ind w:firstLine="646"/>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考虑到安全生产投入的不均衡性，企业提取的安全生产费用年度间可能结余，也可能超支，因此，安全生产费用年度结余资金允许结转下年度使用。同时，为能够更加直观反映企业安全生产投入情况，安全生产费用出现赤字的，应当于年末补提。由此造成的相应费用</w:t>
      </w:r>
      <w:r>
        <w:rPr>
          <w:rFonts w:ascii="仿宋_GB2312" w:hAnsi="楷体" w:eastAsia="仿宋_GB2312" w:cs="宋体"/>
          <w:color w:val="auto"/>
          <w:kern w:val="0"/>
          <w:sz w:val="32"/>
          <w:szCs w:val="32"/>
          <w:highlight w:val="none"/>
        </w:rPr>
        <w:t>年内少记</w:t>
      </w:r>
      <w:r>
        <w:rPr>
          <w:rFonts w:hint="eastAsia" w:ascii="仿宋_GB2312" w:hAnsi="楷体" w:eastAsia="仿宋_GB2312" w:cs="宋体"/>
          <w:color w:val="auto"/>
          <w:kern w:val="0"/>
          <w:sz w:val="32"/>
          <w:szCs w:val="32"/>
          <w:highlight w:val="none"/>
        </w:rPr>
        <w:t>等问题，</w:t>
      </w:r>
      <w:r>
        <w:rPr>
          <w:rFonts w:ascii="仿宋_GB2312" w:hAnsi="楷体" w:eastAsia="仿宋_GB2312" w:cs="宋体"/>
          <w:color w:val="auto"/>
          <w:kern w:val="0"/>
          <w:sz w:val="32"/>
          <w:szCs w:val="32"/>
          <w:highlight w:val="none"/>
        </w:rPr>
        <w:t>应在中期</w:t>
      </w:r>
      <w:r>
        <w:rPr>
          <w:rFonts w:hint="eastAsia" w:ascii="仿宋_GB2312" w:hAnsi="楷体" w:eastAsia="仿宋_GB2312" w:cs="宋体"/>
          <w:color w:val="auto"/>
          <w:kern w:val="0"/>
          <w:sz w:val="32"/>
          <w:szCs w:val="32"/>
          <w:highlight w:val="none"/>
        </w:rPr>
        <w:t>及时披露。</w:t>
      </w:r>
    </w:p>
    <w:p>
      <w:pPr>
        <w:keepNext w:val="0"/>
        <w:keepLines w:val="0"/>
        <w:pageBreakBefore w:val="0"/>
        <w:widowControl w:val="0"/>
        <w:kinsoku/>
        <w:wordWrap/>
        <w:overflowPunct/>
        <w:topLinePunct w:val="0"/>
        <w:bidi w:val="0"/>
        <w:spacing w:line="560" w:lineRule="exact"/>
        <w:ind w:firstLine="646"/>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第四十八条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以上一年度营业收入为依据提取安全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费用的企业，新建和投产不足一年的，当年企业安全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费用据实列支，年末以当年营业收入为依据，按照规定标准计算提取企业安全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w:t>
      </w:r>
    </w:p>
    <w:p>
      <w:pPr>
        <w:keepNext w:val="0"/>
        <w:keepLines w:val="0"/>
        <w:pageBreakBefore w:val="0"/>
        <w:widowControl w:val="0"/>
        <w:kinsoku/>
        <w:wordWrap/>
        <w:overflowPunct/>
        <w:topLinePunct w:val="0"/>
        <w:bidi w:val="0"/>
        <w:spacing w:line="560" w:lineRule="exact"/>
        <w:ind w:firstLine="646"/>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本条是新建和投产不足一年特殊情形的企业安全生产费用计提规定。</w:t>
      </w:r>
    </w:p>
    <w:p>
      <w:pPr>
        <w:keepNext w:val="0"/>
        <w:keepLines w:val="0"/>
        <w:pageBreakBefore w:val="0"/>
        <w:widowControl w:val="0"/>
        <w:kinsoku/>
        <w:wordWrap/>
        <w:overflowPunct/>
        <w:topLinePunct w:val="0"/>
        <w:bidi w:val="0"/>
        <w:spacing w:line="560" w:lineRule="exact"/>
        <w:ind w:firstLine="646"/>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十六条修订。煤矿、非煤矿山、建设工程施工等领域企业安全生产费用计提依据为当月开采的原煤、原矿产量、建筑安装工程造价等，新建和投产不足一年的特殊生产经营阶段不造成安全生产费用计提影响，但若以上一年度营业收入为依据计提安全生产费用，新建和投产不足一年的企业则无法操作。为此，本次修订将原办法“新建企业和投产不足一年的企业以当年实际营业收入为提取依据，按月计提安全费用”修订为“以上一年度营业收入为依据提取安全生产费用的企业，新建和投产不足一年的，当年企业安全生产费用据实列支，年末以当年营业收入为依据，按照规定标准计算提取企业安全生产费用。”即先以不完整年度收入推算得出年度完整收入，再依据年度完整收入和计提标准计算得出企业安全生产费用，当年末调整补提，同时下年度按照推算的当年完整收入计提。</w:t>
      </w:r>
    </w:p>
    <w:p>
      <w:pPr>
        <w:keepNext w:val="0"/>
        <w:keepLines w:val="0"/>
        <w:pageBreakBefore w:val="0"/>
        <w:widowControl w:val="0"/>
        <w:kinsoku/>
        <w:wordWrap/>
        <w:overflowPunct/>
        <w:topLinePunct w:val="0"/>
        <w:bidi w:val="0"/>
        <w:spacing w:line="560" w:lineRule="exact"/>
        <w:ind w:firstLine="646"/>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第四十九条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企业按本办法规定标准连续两年补提安全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费用的，可以按照最近一年补提数提高提取标准。</w:t>
      </w:r>
    </w:p>
    <w:p>
      <w:pPr>
        <w:keepNext w:val="0"/>
        <w:keepLines w:val="0"/>
        <w:pageBreakBefore w:val="0"/>
        <w:widowControl w:val="0"/>
        <w:kinsoku/>
        <w:wordWrap/>
        <w:overflowPunct/>
        <w:topLinePunct w:val="0"/>
        <w:bidi w:val="0"/>
        <w:spacing w:line="560" w:lineRule="exact"/>
        <w:ind w:firstLine="646"/>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本办法公布前，地方各级人民政府已制定下发企业安全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费用提取使用办法且其提取标准低于本办法规定标准的，应当按照本办法进行调整。</w:t>
      </w:r>
    </w:p>
    <w:p>
      <w:pPr>
        <w:keepNext w:val="0"/>
        <w:keepLines w:val="0"/>
        <w:pageBreakBefore w:val="0"/>
        <w:widowControl w:val="0"/>
        <w:kinsoku/>
        <w:wordWrap/>
        <w:overflowPunct/>
        <w:topLinePunct w:val="0"/>
        <w:bidi w:val="0"/>
        <w:spacing w:line="560" w:lineRule="exact"/>
        <w:ind w:firstLine="646"/>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本条是企业提高安全生产费用标准的规定和原则。</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十五条修订。为避免企业随意提高标准，取消原办法关于“企业在上述标准的基础上，根据安全生产实际需要，可适当提高安全费用提取标准”的规定，明确“企业按本办法规定标准连续两年补提安全生产费用的，可以按照最近一年补提数提高提取标准”，根据企业安全生产投入需求实际，通过量化提高操作性。</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对于新办法修订出台前，各省（直辖市、自治区）人民政府根据地方产业结构特点和安全重点情况出台的相关文件所确定的安全生产费用提取标准，与本办法标准不一致的，要“按孰高原则”，即地方确定的提取标准如果低于本办法规定的标准，应当按照本办法进行调整，因此取消原办法“如果高于本办法规定的标准，按照原标准执行”的规定。主要考虑：一是由于地区经济发展与行业差别，灾害重的地区安全生产投入多，费用支出大，相关行业企业按以上标准提取安全生产费用后，仍不能满足安全生产需要，应允许地方差别；二是安全生产投入是一种强制性投入，办法规定的标准是一个最低标准，为了保障安全生产费用足额投入，应该就高不就低，企业可根据实际情况适当提高标准，以保证企业安全生产投入。</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b/>
          <w:color w:val="auto"/>
          <w:sz w:val="32"/>
          <w:szCs w:val="32"/>
          <w:highlight w:val="none"/>
        </w:rPr>
      </w:pPr>
      <w:r>
        <w:rPr>
          <w:rFonts w:hint="eastAsia" w:ascii="黑体" w:hAnsi="黑体" w:eastAsia="黑体"/>
          <w:bCs/>
          <w:color w:val="auto"/>
          <w:kern w:val="44"/>
          <w:sz w:val="32"/>
          <w:szCs w:val="32"/>
          <w:highlight w:val="none"/>
        </w:rPr>
        <w:t>第五十条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费用月初结余达到上一年应计提金额三倍及以上的</w:t>
      </w:r>
      <w:r>
        <w:rPr>
          <w:rFonts w:hint="eastAsia" w:ascii="仿宋_GB2312" w:hAnsi="仿宋" w:eastAsia="仿宋_GB2312"/>
          <w:b/>
          <w:color w:val="auto"/>
          <w:sz w:val="32"/>
          <w:szCs w:val="32"/>
          <w:highlight w:val="none"/>
        </w:rPr>
        <w:t>，自当月</w:t>
      </w:r>
      <w:r>
        <w:rPr>
          <w:rFonts w:hint="eastAsia" w:ascii="仿宋_GB2312" w:hAnsi="仿宋" w:eastAsia="仿宋_GB2312" w:cs="宋体"/>
          <w:b/>
          <w:color w:val="auto"/>
          <w:kern w:val="0"/>
          <w:sz w:val="32"/>
          <w:szCs w:val="32"/>
          <w:highlight w:val="none"/>
        </w:rPr>
        <w:t>开始暂停提取企业安全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费用，直至企业安全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费用结余低于上一年应计提金额三倍时恢复提取</w:t>
      </w:r>
      <w:r>
        <w:rPr>
          <w:rFonts w:hint="eastAsia" w:ascii="仿宋_GB2312" w:hAnsi="仿宋" w:eastAsia="仿宋_GB2312"/>
          <w:b/>
          <w:color w:val="auto"/>
          <w:sz w:val="32"/>
          <w:szCs w:val="32"/>
          <w:highlight w:val="none"/>
        </w:rPr>
        <w:t>。</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本条是缓提安全生产费用的条件规定。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十四条修订。在调研中，部分企业反映原办法“经当地县级以上安全生产监督管理部门、煤矿安全监察机构商财政部门同意，企业本年度可以缓提或者少提安全费用”缓提少提程序复杂，标准不明确，不利于企业操作。原办法关于“中小微型企业和大型企业上年末安全费用结余分别达到本企业上年度营业收入的5%和1.5%”，不符合部分企业经营实际，存在一刀切现象，导致部分企业专项账户结余过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简化缓提和少提程序，新办法修订为“企业安全生产费用月初结余达到上一年应计提金额三倍及以上的，自当月开始暂停提取企业安全生产费用，直至企业安全生产费用结余低于上一年应计提金额三倍时恢复提取”。</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第五十一条</w:t>
      </w:r>
      <w:r>
        <w:rPr>
          <w:rFonts w:hint="eastAsia" w:ascii="仿宋_GB2312" w:hAnsi="仿宋" w:eastAsia="仿宋_GB2312" w:cs="宋体"/>
          <w:bCs/>
          <w:color w:val="auto"/>
          <w:kern w:val="0"/>
          <w:sz w:val="32"/>
          <w:szCs w:val="32"/>
          <w:highlight w:val="none"/>
        </w:rPr>
        <w:t xml:space="preserve"> </w:t>
      </w:r>
      <w:r>
        <w:rPr>
          <w:rStyle w:val="61"/>
          <w:rFonts w:hint="eastAsia" w:eastAsia="仿宋_GB2312"/>
          <w:b/>
          <w:bCs/>
          <w:color w:val="auto"/>
          <w:spacing w:val="0"/>
          <w:sz w:val="32"/>
          <w:szCs w:val="32"/>
          <w:lang w:val="en-US" w:eastAsia="zh-CN" w:bidi="ar"/>
        </w:rPr>
        <w:t>企业当年实际使用的安全生产费用不足年度应计提金额60%的，除按规定进行信息披露外，还应当于下一年度4月底前，按照属地监管权限向县级以上人民政府负有安全生产监督管理职责的部门提交经企业董事会、股东会等机构审议的书面说明。</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本条是企业安全生产费用使用不足的程序规定。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新增条款。为防止企业对安全生产费用只提不用进行利润调节，对于一些特殊企业，安全生产条件好，实际安全生产投入确实达不到应计提金额60%的（以提取主体应计提金额60%确认），可以向当地监管部门进行说明。新办法增设年度安全生产费用使用率不足60%情况下的程序要求：一是要求企业按规定进行信息披露；二是要求于下一年度4月底前，按照属地监管权限向县级以上人民政府负有安全生产监管职责的部门提交经企业董事会、股东会等机构审议的书面说明，实现社会监督和部门监督有机结合。</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企业同时开展两项及两项以上以营业收入为安全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费用计提依据的业务，能够按业务类别分别核算的，按各项业务计提标准分别提取企业安全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费用；不能分别核算的，按营业收入占比最高业务对应的提取标准对各项合计营业收入计提企业安全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本条是混业经营企业安全生产费用的计提规定。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十六条第二款修订。随着企业多元化发展需要，混业经营愈发普遍。基于以营业收入为计提依据的混业经营企业，比如企业主营业务属于冶金行业，但同时也有机械制造，相关风险不同，办法中对冶金行业和机械制造的提取标准不同，存在按哪项业务标准核算安全生产费用的财务处理问题。此外，企业由于市场经营环境的变化，存在某年度不同业务类别收入占比可能发生变化，为充分符合企业生产经营实际与安全生产投入需求，新办法进一步明确，企业同时开展两项及两项以上以营业收入为安全生产费用计提依据的业务，能够按业务类别分别核算的，按各项业务计提标准分别提取企业安全生产费用；不能分别核算的，按营业收入占比最高业务对应的提取标准对各项合计营业收入计提企业安全生产费用。将原办法中“按主营业务计提标准”修订为“按营业收入占比最高业务对应的提取标准”。</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举例说明：</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1．分别核算：某企业业务为危险品生产和危险品运输服务，该企业2022年营业收入为5000万元，其中危险品生产收入3500万元，危险品运输收入1500万元。则该企业2023年应提取的安全生产费用为：</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[1000万元×4.5%+（3500-1000）万元×2.25%]+1500万元×1.5%=123.75万元。</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2.不能分别核算：某企业业务为危险品生产和危险品运输服务，该企业2022年营业收入为5000万元，不能按业务类别分别核算，危险品生产营业收入占比高。则该企业2023年应提取的安全生产费用为：</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1000万元×4.5%+（5000-1000）万元×2.25%=135万元。</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第五十三条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企业作为承揽人或承运人向客户提供纳入本办法规定范围的服务，且外购材料和服务成本高于自客户取得营业收入85%以上的，可以将营业收入扣除相关外购材料和服务成本的净额，作为企业安全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费用计提依据。</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本条是对部分特殊行业净额计提的特殊规定。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新增条款，重点解决贵重金属冶炼加工等企业，由于原材料价格因素导致以营业收入为基数计提的安全生产费用与实际安全生产投入需求不相匹配的问题，例如黄金、铜等加工企业，只简单对原材料进行压延等，产品的原材料外购成本占了营业收入绝大部分，如果按营业收入提取安全生产费用，远高于实际需要。办法规定，企业作为承揽人（承揽人是指承揽合同中以自己的设备、技术和劳力独立完成约定工作并向对方交付工作成果的当事人）或承运人（承运人是指经营海上、铁路、公路等客货运输业务的企业）向客户提供纳入本办法规定范围的服务，且外购材料和服务成本高于自客户取得营业收入85%以上的，可以将营业收入扣除相关外购材料和服务成本的净额作为安全生产费用计提依据。具体适用范围以签订的合同是否为承揽承运合同为准。</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第五十四条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企业内部有两个及两个以上独立核算的非法人主体，主体之间生产和转移产品和服务按本办法规定需提取企业安全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费用的，各主体可以以本主体营业收入扣除自其它主体采购产品和服务的成本（即剔除内部互供收入）的净额，作为企业安全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费用计提依据。</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本条是企业存在内部互供情况安全生产费用的计提规定。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基于部分连续生产企业存在内部互供收入而导致企业安全生产费用重复计提现象，为此，办法新增了企业存在内部互供情况下的安全生产费用财务处理规定，即明确企业内部有两个及两个以上独立核算的非法人主体，计提企业安全生产费用时将内部互供收入应予以扣除。</w:t>
      </w:r>
    </w:p>
    <w:p>
      <w:pPr>
        <w:keepNext w:val="0"/>
        <w:keepLines w:val="0"/>
        <w:pageBreakBefore w:val="0"/>
        <w:widowControl w:val="0"/>
        <w:tabs>
          <w:tab w:val="left" w:pos="1418"/>
        </w:tabs>
        <w:kinsoku/>
        <w:wordWrap/>
        <w:overflowPunct/>
        <w:topLinePunct w:val="0"/>
        <w:bidi w:val="0"/>
        <w:spacing w:line="560" w:lineRule="exact"/>
        <w:ind w:firstLine="640" w:firstLineChars="200"/>
        <w:rPr>
          <w:rFonts w:hint="eastAsia"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举例说明：</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例如某A企业下属有B分公司和C分公司，其中B分公司生产危化品并存储，C分公司负责危化品存储及销售，B分公司危化品全部销售给C分公司，实现收入1000万元，C分公司将从B分公司购买的危化品全部对外销售实现收入1200万元。对于A企业真正实现对外收入为1200万元，如果以B分公司和C分公司收入直接加总的2200万元营业收入为Ａ企业计提依据，增大了企业安全生产费用营业收入计提基数。因此对于同一企业下属不同分公司之间的内部互供收入应予以扣除，避免重复计提。</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第五十五条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承担集团安全生产责任的企业集团母公司（一级，以下简称集团总部），可以对全资及控股子公司提取的企业安全生产费用按照一定比例集中管理，统筹使用。子公司转出资金作为企业安全生产费用支出处理，集团总部收到资金作为专项储备管理，不计入集团总部收入。</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集团总部统筹的企业安全生产费用应当用于本办法规定的应急救援队伍建设、应急预案制修订与应急演练，安全生产检查、咨询和标准化建设，安全生产宣传、教育、培训，安全生产适用的新技术、新标准、新工艺、新装备的推广应用等安全生产直接相关支出。</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本条是集团统筹安全生产费用的规定。</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二十七条第二款修订。考虑到企业集团统一组织的应急能力建设，安全生产检查、咨询和标准化建设，安全生产宣传、教育、培训，安全生产适用的新技术、新标准、新工艺、新装备的推广应用等工作的需要，允许承担集团安全生产责任的集团母公司对子公司提取的安全生产费用按照一定比例集中管理，统筹使用。基于部分企业就哪个层级企业集团可以统筹、统筹资金财务处理方式、使用方向等方面疑问，本次修订进行了明确，即企业集团母公司（一级，简称集团总部）可以对所属子公司提取的安全生产费用按一定比例统筹使用，子公司转出资金作为安全生产费用支出处理，集团总部收到资金作为专项储备管理，不计入集团总部收入，并明确了集团统筹的安全生产费用的四方面主要用途。</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第五十六条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在本办法规定的使用范围内，企业安全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费用应当优先用于达到法定安全生产标准所需支出和按各级应急管理部门、矿山安全监察机构及其他负有安全生产监督管理职责的部门要求开展的安全生产整改支出。</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本条是安全生产费用使用的优先原则。</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二十六条修订。国家法律规定安全生产标准是满足企业安全生产条件的最基本要求，为使安全生产费用首先用于安全生产条件最薄弱环节，规定企业安全生产费用要优先保障法定安全生产标准和重大隐患整改所需的基本投入。本次修订，根据2018年3月国务院机构改革方案和2020年中共中央办公厅、国务院办公厅印发的《国家矿山安全监察局职能配置、内设机构和人员编制规定》，将原办法中“安全生产监督管理部门”“煤矿安全监察机构”更新为“应急管理部门”“矿山安全监察机构”，为表述更为严谨规范，将“安全生产标准”修订为“法定安全生产标准”，“行业主管部门”修订为“其他负有安全生产监督管理职责的部门”。</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第五十七条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煤炭生产企业和非煤矿山企业已提取维持简单再生产费用的，应当继续提取，但不得重复开支本办法规定的企业安全生产费用。</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本条是维简费的衔接规定。</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二十八条修订。维简费是在成本中列支，专项用于维持简单再生产的资金。在上世纪60年代中期，原国家计划委员会、财政部制订的《关于改革固定资产更新和技术改造资金的管理办法》中将技术组织措施费、零星固定资产购置费和劳动保护费三项费用，与固定资产更新和基本建设中属于简单再生产性质的投资（维简费）合并为一种资金，统称固定资产更新和技术改造资金（简称更改资金）。该办法规定：煤炭、林业、冶金等采掘、采伐企业的开拓延深费用，固定资产更新和技术改造资金按照产量提取并计入成本，不再提取基本折旧基金。2004年《财政部 国家发展改革委 国家煤矿安全监察局关于印发&lt;煤炭生产安全费用提取和使用管理办法&gt;和&lt;关于规范煤矿维简费管理问题的若干规定&gt; 的通知》（财建〔2004〕119号），将原维简费中用于安全方面的支出分离出来，单独提取安全生产费用，并维持原维简费提取标准不降低。当前煤炭生产企业和非煤矿山企业维简费制度仍继续执行，为保持政策的衔接，正确区分煤炭、非煤矿山企业安全生产费用和维简费，办法进行了明确。</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第五十八条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企业由于产权转让、公司制改建等变更股权结构或者组织形式的，其结余的企业安全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费用应当继续按照本办法管理使用。</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本条是企业变更股权结构或者组织形式后结余安全生产费用处理规定。</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企业由于产权转让、公司制改建等变更股权结构或者组织形式，并不改变企业行业性质，因此其结余的企业安全生产费用应当继续按照本办法管理使用。</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第五十九条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企业调整业务、终止经营或者依法清算的，其结余的企业安全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费用应当结转本期收益或者清算收益。下列情形除外：</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（一）矿山企业转产、停产、停业或者解散的，应当将企业安全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费用结余用于矿山闭坑、尾矿库闭库后可能的危害治理和损失赔偿；</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（二）危险品生产与储存企业转产、停产、停业或者解散的，应当将企业安全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费用结余用于处理转产、停产、停业或者解散前的危险品生产或者储存设备、库存产品及生产原料支出。</w:t>
      </w:r>
    </w:p>
    <w:p>
      <w:pPr>
        <w:keepNext w:val="0"/>
        <w:keepLines w:val="0"/>
        <w:pageBreakBefore w:val="0"/>
        <w:widowControl w:val="0"/>
        <w:kinsoku/>
        <w:wordWrap/>
        <w:overflowPunct/>
        <w:topLinePunct w:val="0"/>
        <w:bidi w:val="0"/>
        <w:spacing w:line="560" w:lineRule="exact"/>
        <w:ind w:firstLine="629"/>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第（一）和（二）项企业安全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费用结余，有存续企业的，由存续企业管理；无存续企业的，由清算前全部股东共同管理或者委托第三方管理。</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本条是企业调整业务、终止经营或者依法清算情况下对结余安全生产费用的处理规定。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ascii="仿宋_GB2312" w:hAnsi="楷体" w:eastAsia="仿宋_GB2312" w:cs="宋体"/>
          <w:color w:val="auto"/>
          <w:kern w:val="0"/>
          <w:sz w:val="32"/>
          <w:szCs w:val="32"/>
          <w:highlight w:val="none"/>
        </w:rPr>
        <w:t>对</w:t>
      </w:r>
      <w:r>
        <w:rPr>
          <w:rFonts w:hint="eastAsia" w:ascii="仿宋_GB2312" w:hAnsi="楷体" w:eastAsia="仿宋_GB2312" w:cs="宋体"/>
          <w:color w:val="auto"/>
          <w:kern w:val="0"/>
          <w:sz w:val="32"/>
          <w:szCs w:val="32"/>
          <w:highlight w:val="none"/>
        </w:rPr>
        <w:t>企业生产经营中可能出现</w:t>
      </w:r>
      <w:r>
        <w:rPr>
          <w:rFonts w:ascii="仿宋_GB2312" w:hAnsi="楷体" w:eastAsia="仿宋_GB2312" w:cs="宋体"/>
          <w:color w:val="auto"/>
          <w:kern w:val="0"/>
          <w:sz w:val="32"/>
          <w:szCs w:val="32"/>
          <w:highlight w:val="none"/>
        </w:rPr>
        <w:t>的</w:t>
      </w:r>
      <w:r>
        <w:rPr>
          <w:rFonts w:hint="eastAsia" w:ascii="仿宋_GB2312" w:hAnsi="楷体" w:eastAsia="仿宋_GB2312" w:cs="宋体"/>
          <w:color w:val="auto"/>
          <w:kern w:val="0"/>
          <w:sz w:val="32"/>
          <w:szCs w:val="32"/>
          <w:highlight w:val="none"/>
        </w:rPr>
        <w:t>调整业务、终止经营或者依法清算情况，其结余的安全生产费用如何处理予以明确。企业因调整业务不再需要承担安全生产费用支出责任的，办法明确其结余的企业安全生产费用结转本期收益，满足企业经营管理战略调整的客观需要；企业终止经营或者依法清算时，其结余的企业安全生产费用转入“清算损益”，便于清算企业的资产。</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基于企业调整业务、终止经营或者依法清算情形包括矿山企业、危险品生产与储存企业的转产、停产、停业或者解散，本次修订对该两种情形并入企业调整业务、终止经营或者依法清算条款，对其企业安全生产费用结余的用途、管理进行特别明确，即矿山企业安全生产费用结余要用于矿山闭坑、尾矿库闭库后可能的危害治理和损失赔偿；危险品生产与储存企业安全生产费用结余要用于处理转产、停产、停业或者解散前的危险品生产或者储存设备、库存产品及生产原料支出。对结余的安全生产费用管理进行补充规定：有存续企业的，由存续企业管理；无存续企业的，由清算前全部股东共同管理或者委托第三方管理。</w:t>
      </w:r>
    </w:p>
    <w:p>
      <w:pPr>
        <w:keepNext w:val="0"/>
        <w:keepLines w:val="0"/>
        <w:pageBreakBefore w:val="0"/>
        <w:widowControl w:val="0"/>
        <w:kinsoku/>
        <w:wordWrap/>
        <w:overflowPunct/>
        <w:topLinePunct w:val="0"/>
        <w:bidi w:val="0"/>
        <w:spacing w:line="560" w:lineRule="exact"/>
        <w:ind w:firstLine="629"/>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企业提取的安全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费用属于企业自提自用资金，除集团总部按规定统筹使用外，任何单位和个人不得采取收取、代管等形式对其进行集中管理和使用。法律、行政法规另有规定的，从其规定。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本条是安全生产费用资金管理的权限界定。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企业安全生产费用是企业的一种生产性资金，有专门用途，其所有权和使用权都属于企业，因此，企业提取的安全生产费用由企业自行安排使用，除集团总部按办法规定事项统筹使用外，任何单位和部门都不得对其进行集中管理和使用，即政府部门不得抽调企业安全生产费用弥补政府部门经费不足，行业管理部门和安全监管部门不得集中管理和使用。</w:t>
      </w:r>
    </w:p>
    <w:p>
      <w:pPr>
        <w:keepNext w:val="0"/>
        <w:keepLines w:val="0"/>
        <w:pageBreakBefore w:val="0"/>
        <w:widowControl w:val="0"/>
        <w:kinsoku/>
        <w:wordWrap/>
        <w:overflowPunct/>
        <w:topLinePunct w:val="0"/>
        <w:bidi w:val="0"/>
        <w:spacing w:line="560" w:lineRule="exact"/>
        <w:ind w:firstLine="629"/>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第六十一条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各级应急管理部门、矿山</w:t>
      </w:r>
      <w:r>
        <w:rPr>
          <w:rFonts w:hint="eastAsia" w:ascii="仿宋_GB2312" w:hAnsi="仿宋" w:eastAsia="仿宋_GB2312"/>
          <w:b/>
          <w:color w:val="auto"/>
          <w:sz w:val="32"/>
          <w:szCs w:val="32"/>
          <w:highlight w:val="none"/>
        </w:rPr>
        <w:t>安全</w:t>
      </w:r>
      <w:r>
        <w:rPr>
          <w:rFonts w:hint="eastAsia" w:ascii="仿宋_GB2312" w:hAnsi="仿宋" w:eastAsia="仿宋_GB2312" w:cs="宋体"/>
          <w:b/>
          <w:color w:val="auto"/>
          <w:kern w:val="0"/>
          <w:sz w:val="32"/>
          <w:szCs w:val="32"/>
          <w:highlight w:val="none"/>
        </w:rPr>
        <w:t>监察机构及其他负有安全生产监督管理职责的部门和财政部门</w:t>
      </w:r>
      <w:r>
        <w:rPr>
          <w:rFonts w:hint="eastAsia" w:ascii="仿宋_GB2312" w:hAnsi="仿宋" w:eastAsia="仿宋_GB2312"/>
          <w:b/>
          <w:color w:val="auto"/>
          <w:sz w:val="32"/>
          <w:szCs w:val="32"/>
          <w:highlight w:val="none"/>
        </w:rPr>
        <w:t>依法对</w:t>
      </w: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w:t>
      </w:r>
      <w:r>
        <w:rPr>
          <w:rFonts w:hint="eastAsia" w:ascii="仿宋_GB2312" w:hAnsi="仿宋" w:eastAsia="仿宋_GB2312"/>
          <w:b/>
          <w:color w:val="auto"/>
          <w:sz w:val="32"/>
          <w:szCs w:val="32"/>
          <w:highlight w:val="none"/>
        </w:rPr>
        <w:t>提取、使用和管理进行监督检查</w:t>
      </w:r>
      <w:r>
        <w:rPr>
          <w:rFonts w:hint="eastAsia" w:ascii="仿宋_GB2312" w:hAnsi="仿宋" w:eastAsia="仿宋_GB2312" w:cs="宋体"/>
          <w:b/>
          <w:color w:val="auto"/>
          <w:kern w:val="0"/>
          <w:sz w:val="32"/>
          <w:szCs w:val="32"/>
          <w:highlight w:val="none"/>
        </w:rPr>
        <w:t>。</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本条是有关监管部门具有安全生产费用监督检查责任的规定。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中华人民共和国安全生产法》第六十五条：应急管理部门和其他负有安全生产监督管理职责的部门依法开展安全生产行政执法工作，对生产经营单位执行有关安全生产的法律、法规和国家标准或者行业标准的情况进行监督检查。《中华人民共和国会计法》第三十二条：财政部门对各单位的下列情况实施监督</w:t>
      </w:r>
      <w:r>
        <w:rPr>
          <w:rFonts w:hint="eastAsia" w:ascii="仿宋_GB2312" w:hAnsi="楷体" w:eastAsia="仿宋_GB2312" w:cs="宋体"/>
          <w:color w:val="auto"/>
          <w:kern w:val="0"/>
          <w:sz w:val="32"/>
          <w:szCs w:val="32"/>
          <w:highlight w:val="none"/>
          <w:lang w:eastAsia="zh-CN"/>
        </w:rPr>
        <w:t>：</w:t>
      </w:r>
      <w:r>
        <w:rPr>
          <w:rFonts w:hint="eastAsia" w:ascii="仿宋_GB2312" w:hAnsi="楷体" w:eastAsia="仿宋_GB2312" w:cs="宋体"/>
          <w:color w:val="auto"/>
          <w:kern w:val="0"/>
          <w:sz w:val="32"/>
          <w:szCs w:val="32"/>
          <w:highlight w:val="none"/>
        </w:rPr>
        <w:t>（一）</w:t>
      </w:r>
      <w:r>
        <w:rPr>
          <w:rFonts w:ascii="仿宋_GB2312" w:hAnsi="楷体" w:eastAsia="仿宋_GB2312" w:cs="宋体"/>
          <w:color w:val="auto"/>
          <w:kern w:val="0"/>
          <w:sz w:val="32"/>
          <w:szCs w:val="32"/>
          <w:highlight w:val="none"/>
        </w:rPr>
        <w:t>是否依法设置会计</w:t>
      </w:r>
      <w:r>
        <w:rPr>
          <w:rFonts w:hint="eastAsia" w:ascii="仿宋_GB2312" w:hAnsi="楷体" w:eastAsia="仿宋_GB2312" w:cs="宋体"/>
          <w:color w:val="auto"/>
          <w:kern w:val="0"/>
          <w:sz w:val="32"/>
          <w:szCs w:val="32"/>
          <w:highlight w:val="none"/>
        </w:rPr>
        <w:t>账簿</w:t>
      </w:r>
      <w:r>
        <w:rPr>
          <w:rFonts w:hint="eastAsia" w:ascii="仿宋_GB2312" w:hAnsi="楷体" w:eastAsia="仿宋_GB2312" w:cs="宋体"/>
          <w:color w:val="auto"/>
          <w:kern w:val="0"/>
          <w:sz w:val="32"/>
          <w:szCs w:val="32"/>
          <w:highlight w:val="none"/>
          <w:lang w:eastAsia="zh-CN"/>
        </w:rPr>
        <w:t>；</w:t>
      </w:r>
      <w:r>
        <w:rPr>
          <w:rFonts w:hint="eastAsia" w:ascii="仿宋_GB2312" w:hAnsi="楷体" w:eastAsia="仿宋_GB2312" w:cs="宋体"/>
          <w:color w:val="auto"/>
          <w:kern w:val="0"/>
          <w:sz w:val="32"/>
          <w:szCs w:val="32"/>
          <w:highlight w:val="none"/>
        </w:rPr>
        <w:t>（二）</w:t>
      </w:r>
      <w:r>
        <w:rPr>
          <w:rFonts w:ascii="仿宋_GB2312" w:hAnsi="楷体" w:eastAsia="仿宋_GB2312" w:cs="宋体"/>
          <w:color w:val="auto"/>
          <w:kern w:val="0"/>
          <w:sz w:val="32"/>
          <w:szCs w:val="32"/>
          <w:highlight w:val="none"/>
        </w:rPr>
        <w:t>会计凭证、会计</w:t>
      </w:r>
      <w:r>
        <w:rPr>
          <w:rFonts w:hint="eastAsia" w:ascii="仿宋_GB2312" w:hAnsi="楷体" w:eastAsia="仿宋_GB2312" w:cs="宋体"/>
          <w:color w:val="auto"/>
          <w:kern w:val="0"/>
          <w:sz w:val="32"/>
          <w:szCs w:val="32"/>
          <w:highlight w:val="none"/>
        </w:rPr>
        <w:t>账簿</w:t>
      </w:r>
      <w:r>
        <w:rPr>
          <w:rFonts w:ascii="仿宋_GB2312" w:hAnsi="楷体" w:eastAsia="仿宋_GB2312" w:cs="宋体"/>
          <w:color w:val="auto"/>
          <w:kern w:val="0"/>
          <w:sz w:val="32"/>
          <w:szCs w:val="32"/>
          <w:highlight w:val="none"/>
        </w:rPr>
        <w:t>、财务会计报告和其他会计资料是否真实、完整</w:t>
      </w:r>
      <w:r>
        <w:rPr>
          <w:rFonts w:hint="eastAsia" w:ascii="仿宋_GB2312" w:hAnsi="楷体" w:eastAsia="仿宋_GB2312" w:cs="宋体"/>
          <w:color w:val="auto"/>
          <w:kern w:val="0"/>
          <w:sz w:val="32"/>
          <w:szCs w:val="32"/>
          <w:highlight w:val="none"/>
          <w:lang w:eastAsia="zh-CN"/>
        </w:rPr>
        <w:t>；</w:t>
      </w:r>
      <w:r>
        <w:rPr>
          <w:rFonts w:hint="eastAsia" w:ascii="仿宋_GB2312" w:hAnsi="楷体" w:eastAsia="仿宋_GB2312" w:cs="宋体"/>
          <w:color w:val="auto"/>
          <w:kern w:val="0"/>
          <w:sz w:val="32"/>
          <w:szCs w:val="32"/>
          <w:highlight w:val="none"/>
        </w:rPr>
        <w:t>（三）</w:t>
      </w:r>
      <w:r>
        <w:rPr>
          <w:rFonts w:ascii="仿宋_GB2312" w:hAnsi="楷体" w:eastAsia="仿宋_GB2312" w:cs="宋体"/>
          <w:color w:val="auto"/>
          <w:kern w:val="0"/>
          <w:sz w:val="32"/>
          <w:szCs w:val="32"/>
          <w:highlight w:val="none"/>
        </w:rPr>
        <w:t>会计核算是否符合本法和国家统一的会计制度的规定</w:t>
      </w:r>
      <w:r>
        <w:rPr>
          <w:rFonts w:hint="eastAsia" w:ascii="仿宋_GB2312" w:hAnsi="楷体" w:eastAsia="仿宋_GB2312" w:cs="宋体"/>
          <w:color w:val="auto"/>
          <w:kern w:val="0"/>
          <w:sz w:val="32"/>
          <w:szCs w:val="32"/>
          <w:highlight w:val="none"/>
          <w:lang w:eastAsia="zh-CN"/>
        </w:rPr>
        <w:t>；</w:t>
      </w:r>
      <w:r>
        <w:rPr>
          <w:rFonts w:hint="eastAsia" w:ascii="仿宋_GB2312" w:hAnsi="楷体" w:eastAsia="仿宋_GB2312" w:cs="宋体"/>
          <w:color w:val="auto"/>
          <w:kern w:val="0"/>
          <w:sz w:val="32"/>
          <w:szCs w:val="32"/>
          <w:highlight w:val="none"/>
        </w:rPr>
        <w:t>（四）</w:t>
      </w:r>
      <w:r>
        <w:rPr>
          <w:rFonts w:ascii="仿宋_GB2312" w:hAnsi="楷体" w:eastAsia="仿宋_GB2312" w:cs="宋体"/>
          <w:color w:val="auto"/>
          <w:kern w:val="0"/>
          <w:sz w:val="32"/>
          <w:szCs w:val="32"/>
          <w:highlight w:val="none"/>
        </w:rPr>
        <w:t>从事会计工作的人员是否具备专业能力、遵守职业道德。企业安全生产费用提取和使用</w:t>
      </w:r>
      <w:r>
        <w:rPr>
          <w:rFonts w:hint="eastAsia" w:ascii="仿宋_GB2312" w:hAnsi="楷体" w:eastAsia="仿宋_GB2312" w:cs="宋体"/>
          <w:color w:val="auto"/>
          <w:kern w:val="0"/>
          <w:sz w:val="32"/>
          <w:szCs w:val="32"/>
          <w:highlight w:val="none"/>
        </w:rPr>
        <w:t>是</w:t>
      </w:r>
      <w:r>
        <w:rPr>
          <w:rFonts w:ascii="仿宋_GB2312" w:hAnsi="楷体" w:eastAsia="仿宋_GB2312" w:cs="宋体"/>
          <w:color w:val="auto"/>
          <w:kern w:val="0"/>
          <w:sz w:val="32"/>
          <w:szCs w:val="32"/>
          <w:highlight w:val="none"/>
        </w:rPr>
        <w:t>法定要求，财政部门、应急管理部门、</w:t>
      </w:r>
      <w:r>
        <w:rPr>
          <w:rFonts w:hint="eastAsia" w:ascii="仿宋_GB2312" w:hAnsi="楷体" w:eastAsia="仿宋_GB2312" w:cs="宋体"/>
          <w:color w:val="auto"/>
          <w:kern w:val="0"/>
          <w:sz w:val="32"/>
          <w:szCs w:val="32"/>
          <w:highlight w:val="none"/>
        </w:rPr>
        <w:t>矿山</w:t>
      </w:r>
      <w:r>
        <w:rPr>
          <w:rFonts w:ascii="仿宋_GB2312" w:hAnsi="楷体" w:eastAsia="仿宋_GB2312" w:cs="宋体"/>
          <w:color w:val="auto"/>
          <w:kern w:val="0"/>
          <w:sz w:val="32"/>
          <w:szCs w:val="32"/>
          <w:highlight w:val="none"/>
        </w:rPr>
        <w:t>安全监察</w:t>
      </w:r>
      <w:r>
        <w:rPr>
          <w:rFonts w:hint="eastAsia" w:ascii="仿宋_GB2312" w:hAnsi="楷体" w:eastAsia="仿宋_GB2312" w:cs="宋体"/>
          <w:color w:val="auto"/>
          <w:kern w:val="0"/>
          <w:sz w:val="32"/>
          <w:szCs w:val="32"/>
          <w:highlight w:val="none"/>
        </w:rPr>
        <w:t>机构</w:t>
      </w:r>
      <w:r>
        <w:rPr>
          <w:rFonts w:ascii="仿宋_GB2312" w:hAnsi="楷体" w:eastAsia="仿宋_GB2312" w:cs="宋体"/>
          <w:color w:val="auto"/>
          <w:kern w:val="0"/>
          <w:sz w:val="32"/>
          <w:szCs w:val="32"/>
          <w:highlight w:val="none"/>
        </w:rPr>
        <w:t>和有关行业主管部门依法对企业安全</w:t>
      </w:r>
      <w:r>
        <w:rPr>
          <w:rFonts w:hint="eastAsia" w:ascii="仿宋_GB2312" w:hAnsi="楷体" w:eastAsia="仿宋_GB2312" w:cs="宋体"/>
          <w:color w:val="auto"/>
          <w:kern w:val="0"/>
          <w:sz w:val="32"/>
          <w:szCs w:val="32"/>
          <w:highlight w:val="none"/>
        </w:rPr>
        <w:t>生产</w:t>
      </w:r>
      <w:r>
        <w:rPr>
          <w:rFonts w:ascii="仿宋_GB2312" w:hAnsi="楷体" w:eastAsia="仿宋_GB2312" w:cs="宋体"/>
          <w:color w:val="auto"/>
          <w:kern w:val="0"/>
          <w:sz w:val="32"/>
          <w:szCs w:val="32"/>
          <w:highlight w:val="none"/>
        </w:rPr>
        <w:t>费用提取和使用管理进行监督</w:t>
      </w:r>
      <w:r>
        <w:rPr>
          <w:rFonts w:hint="eastAsia" w:ascii="仿宋_GB2312" w:hAnsi="楷体" w:eastAsia="仿宋_GB2312" w:cs="宋体"/>
          <w:color w:val="auto"/>
          <w:kern w:val="0"/>
          <w:sz w:val="32"/>
          <w:szCs w:val="32"/>
          <w:highlight w:val="none"/>
        </w:rPr>
        <w:t>检查，督促企业贯彻实施。</w:t>
      </w:r>
    </w:p>
    <w:p>
      <w:pPr>
        <w:keepNext w:val="0"/>
        <w:keepLines w:val="0"/>
        <w:pageBreakBefore w:val="0"/>
        <w:widowControl w:val="0"/>
        <w:kinsoku/>
        <w:wordWrap/>
        <w:overflowPunct/>
        <w:topLinePunct w:val="0"/>
        <w:bidi w:val="0"/>
        <w:spacing w:line="560" w:lineRule="exact"/>
        <w:ind w:firstLine="629"/>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第六十二条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企业未按本办法提取和使用安全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费用的，由县级以上应急管理部门、矿山安全监察机构及其他负有安全生产监督管理职责的部门和财政部门按照职责分工，责令限期改正</w:t>
      </w:r>
      <w:r>
        <w:rPr>
          <w:rFonts w:hint="eastAsia" w:eastAsia="仿宋_GB2312" w:cs="Calibri"/>
          <w:b/>
          <w:color w:val="auto"/>
          <w:kern w:val="0"/>
          <w:sz w:val="32"/>
          <w:szCs w:val="32"/>
          <w:highlight w:val="none"/>
        </w:rPr>
        <w:t> </w:t>
      </w:r>
      <w:r>
        <w:rPr>
          <w:rFonts w:hint="eastAsia" w:ascii="仿宋_GB2312" w:hAnsi="仿宋" w:eastAsia="仿宋_GB2312" w:cs="宋体"/>
          <w:b/>
          <w:color w:val="auto"/>
          <w:kern w:val="0"/>
          <w:sz w:val="32"/>
          <w:szCs w:val="32"/>
          <w:highlight w:val="none"/>
        </w:rPr>
        <w:t>，并依照《中华人民共和国安全生产法》、</w:t>
      </w:r>
      <w:r>
        <w:rPr>
          <w:rFonts w:hint="eastAsia" w:ascii="仿宋_GB2312" w:hAnsi="仿宋" w:eastAsia="仿宋_GB2312"/>
          <w:b/>
          <w:color w:val="auto"/>
          <w:sz w:val="32"/>
          <w:szCs w:val="32"/>
          <w:highlight w:val="none"/>
        </w:rPr>
        <w:t>《中华人民共和国会计法》</w:t>
      </w:r>
      <w:bookmarkStart w:id="35" w:name="_Hlk154054508"/>
      <w:r>
        <w:rPr>
          <w:rFonts w:hint="eastAsia" w:ascii="仿宋_GB2312" w:hAnsi="仿宋" w:eastAsia="仿宋_GB2312"/>
          <w:b/>
          <w:color w:val="auto"/>
          <w:sz w:val="32"/>
          <w:szCs w:val="32"/>
          <w:highlight w:val="none"/>
        </w:rPr>
        <w:t>和</w:t>
      </w:r>
      <w:r>
        <w:rPr>
          <w:rFonts w:hint="eastAsia" w:ascii="仿宋_GB2312" w:hAnsi="仿宋" w:eastAsia="仿宋_GB2312" w:cs="宋体"/>
          <w:b/>
          <w:color w:val="auto"/>
          <w:kern w:val="0"/>
          <w:sz w:val="32"/>
          <w:szCs w:val="32"/>
          <w:highlight w:val="none"/>
        </w:rPr>
        <w:t>相关法律法规</w:t>
      </w:r>
      <w:bookmarkEnd w:id="35"/>
      <w:r>
        <w:rPr>
          <w:rFonts w:hint="eastAsia" w:ascii="仿宋_GB2312" w:hAnsi="仿宋" w:eastAsia="仿宋_GB2312" w:cs="宋体"/>
          <w:b/>
          <w:color w:val="auto"/>
          <w:kern w:val="0"/>
          <w:sz w:val="32"/>
          <w:szCs w:val="32"/>
          <w:highlight w:val="none"/>
        </w:rPr>
        <w:t>进行处理、处罚。情节严重、性质恶劣的，依照有关规定实施联合惩戒。</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本条是对企业违规提取和使用安全生产费用的处罚规定。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本条基于原办法第三十六条修订。明确了《中华人民共和国安全生产法》、《中华人民共和国会计法》和相关法律法规作为处理处罚依据，对情节严重、性质恶劣的，增加实施联合惩戒规定。</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安全生产法》第九十三条：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华人民共和国会计法》第四十二条：违反本法规定，有下列行为之一的，由县级以上人民政府财政部门责令限期改正，可以对单位并处三千元以上五万元以下的罚款；对其直接负责的主管人员和其他直接责任人员，可以处二千元以上二万元以下的罚款；属于国家工作人员的，还应当由其所在单位或者有关单位依法给予行政处分：（一）不依法设置会计账簿的；（二）私设会计账簿的；（三）未按照规定填制、取得原始凭证或者填制、取得的原始凭证不符合规定的；（四）以未经审核的会计凭证为依据登记会计账簿或者登记会计账簿不符合规定的；（五）随意变更会计处理方法的；（六）向不同的会计资料使用者提供的财务会计报告编制依据不一致的；（七）未按照规定使用会计记录文字或者记帐本位币的；（八）未按照规定保管会计资料，致使会计资料毁损、灭失的；（九）未按照规定建立并实施单位内部会计监督制度或者拒绝依法实施的监督或者不如实提供有关会计资料及有关情况的；（十）任用会计人员不符合本法规定的。有前款所列行为之一，构成犯罪的，依法追究刑事责任。会计人员有第一款所列行为之一，情节严重的，五年内不得从事会计工作。有关法律对第一款所列行为的处罚另有规定的，依照有关法律的规定办理。第四十三条：伪造、变造会计凭证、会计账簿，编制虚假财务会计报告，构成犯罪的，依法追究刑事责任。有前款行为，尚不构成犯罪的，由县级以上人民政府财政部门予以通报，可以对单位并处五千元以上十万元以下的罚款；对其直接负责的主管人员和其他直接责任人员，可以处三千元以上五万元以下的罚款；属于国家工作人员的，还应当由其所在单位或者有关单位依法给予撤职直至开除的行政处分；其中的会计人员，五年内不得从事会计工作。</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《中共中央 国务院关于推进安全生产领域改革发展的意见》提出：积极推进安全生产诚信体系建设，完善企业安全生产不良记录“黑名单”制度，建立失信惩戒和守信激励机制。</w:t>
      </w:r>
    </w:p>
    <w:p>
      <w:pPr>
        <w:keepNext w:val="0"/>
        <w:keepLines w:val="0"/>
        <w:pageBreakBefore w:val="0"/>
        <w:widowControl w:val="0"/>
        <w:kinsoku/>
        <w:wordWrap/>
        <w:overflowPunct/>
        <w:topLinePunct w:val="0"/>
        <w:bidi w:val="0"/>
        <w:spacing w:line="560" w:lineRule="exact"/>
        <w:ind w:firstLine="629"/>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应急管理部关于加强安全生产执法工作的意见》（应急〔2021〕23号）要求“严格执行安全生产失信行为联合惩戒制度，对于存在严重违法行为的失信主体要及时纳入安全生产失信惩戒名单，提高执法工作严肃性和震慑力。对于列入严重失信惩戒名单的企业和人员，将相关信息推送全国信用信息共享平台，按照《关于对安全生产领域失信生产经营单位及其有关人员开展联合惩戒的合作备忘录》（发改财金〔2016〕1001号）要求，实施联合惩戒”。</w:t>
      </w:r>
    </w:p>
    <w:p>
      <w:pPr>
        <w:keepNext w:val="0"/>
        <w:keepLines w:val="0"/>
        <w:pageBreakBefore w:val="0"/>
        <w:widowControl w:val="0"/>
        <w:kinsoku/>
        <w:wordWrap/>
        <w:overflowPunct/>
        <w:topLinePunct w:val="0"/>
        <w:bidi w:val="0"/>
        <w:spacing w:line="560" w:lineRule="exact"/>
        <w:ind w:firstLine="629"/>
        <w:rPr>
          <w:rFonts w:hint="eastAsia" w:ascii="仿宋_GB2312" w:hAnsi="宋体" w:eastAsia="仿宋_GB2312" w:cs="宋体"/>
          <w:b/>
          <w:color w:val="auto"/>
          <w:sz w:val="32"/>
          <w:szCs w:val="32"/>
          <w:highlight w:val="none"/>
        </w:rPr>
      </w:pPr>
      <w:r>
        <w:rPr>
          <w:rFonts w:hint="eastAsia" w:ascii="黑体" w:hAnsi="黑体" w:eastAsia="黑体"/>
          <w:bCs/>
          <w:color w:val="auto"/>
          <w:kern w:val="44"/>
          <w:sz w:val="32"/>
          <w:szCs w:val="32"/>
          <w:highlight w:val="none"/>
        </w:rPr>
        <w:t>第六十三条</w:t>
      </w:r>
      <w:r>
        <w:rPr>
          <w:rFonts w:hint="eastAsia" w:ascii="仿宋_GB2312" w:hAnsi="仿宋" w:eastAsia="仿宋_GB2312" w:cs="宋体"/>
          <w:bCs/>
          <w:color w:val="auto"/>
          <w:kern w:val="0"/>
          <w:sz w:val="32"/>
          <w:szCs w:val="32"/>
          <w:highlight w:val="none"/>
        </w:rPr>
        <w:t xml:space="preserve"> </w:t>
      </w:r>
      <w:r>
        <w:rPr>
          <w:rFonts w:hint="eastAsia" w:ascii="仿宋_GB2312" w:hAnsi="宋体" w:eastAsia="仿宋_GB2312" w:cs="宋体"/>
          <w:b/>
          <w:color w:val="auto"/>
          <w:sz w:val="32"/>
          <w:szCs w:val="32"/>
          <w:highlight w:val="none"/>
        </w:rPr>
        <w:t>建设单位未按规定及时向施工单位支付企业安全生产费用、建设工程施工总承包单位未向分包单位支付必要的企业安全生产费用以及承包单位挪用企业安全生产费用的，由建设、交通运输、铁路、水利、应急管理、矿山安全监察等部门按职责分工依法进行处理、处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本条是建设施工领域安全生产费用提取使用违规行为的处理、处罚规定。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基于原办法第三十六条第二款修订。办法第十八条明确了建设单位、总包单位支付安全生产费用的时间和金额，相应增加对建设单位、总包单位不按规定及时履约、不按时支付安全生产费用以及承包单位挪用安全生产费用等违规行为的约束。建设领域安全监管涉及建设、交通运输、铁路、水利、应急管理、矿山安全监察等部门，为避免多部门重复处罚，本次修订明确上述部门“按职责分工”依法进行处理、处罚。增加对建设单位未按规定及时向施工单位支付安全生产费用处理处罚规定。</w:t>
      </w:r>
    </w:p>
    <w:p>
      <w:pPr>
        <w:keepNext w:val="0"/>
        <w:keepLines w:val="0"/>
        <w:pageBreakBefore w:val="0"/>
        <w:widowControl w:val="0"/>
        <w:kinsoku/>
        <w:wordWrap/>
        <w:overflowPunct/>
        <w:topLinePunct w:val="0"/>
        <w:bidi w:val="0"/>
        <w:spacing w:line="560" w:lineRule="exact"/>
        <w:ind w:firstLine="629"/>
        <w:rPr>
          <w:rFonts w:hint="eastAsia" w:ascii="仿宋_GB2312" w:hAnsi="仿宋" w:eastAsia="仿宋_GB2312"/>
          <w:b/>
          <w:color w:val="auto"/>
          <w:sz w:val="32"/>
          <w:szCs w:val="32"/>
          <w:highlight w:val="none"/>
        </w:rPr>
      </w:pPr>
      <w:r>
        <w:rPr>
          <w:rFonts w:hint="eastAsia" w:ascii="黑体" w:hAnsi="黑体" w:eastAsia="黑体"/>
          <w:bCs/>
          <w:color w:val="auto"/>
          <w:kern w:val="44"/>
          <w:sz w:val="32"/>
          <w:szCs w:val="32"/>
          <w:highlight w:val="none"/>
        </w:rPr>
        <w:t>第六十四条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b/>
          <w:color w:val="auto"/>
          <w:sz w:val="32"/>
          <w:szCs w:val="32"/>
          <w:highlight w:val="none"/>
        </w:rPr>
        <w:t>各级应急管理部门、矿山安全监察机构及其他负有安全生产监督管理职责的部门和财政部门及其工作人员，在</w:t>
      </w: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w:t>
      </w:r>
      <w:r>
        <w:rPr>
          <w:rFonts w:hint="eastAsia" w:ascii="仿宋_GB2312" w:hAnsi="仿宋" w:eastAsia="仿宋_GB2312"/>
          <w:b/>
          <w:color w:val="auto"/>
          <w:sz w:val="32"/>
          <w:szCs w:val="32"/>
          <w:highlight w:val="none"/>
        </w:rPr>
        <w:t>监督管理中存在滥用职权、玩忽职守、徇私舞弊等违法违纪行为的，按照《中华人民共和国安全生产法》、《中华人民共和国监察法》等有关规定追究相应责任。构成犯罪的，依法追究刑事责任。</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本条是相关行政部门及工作人员的追责规定。</w:t>
      </w:r>
    </w:p>
    <w:p>
      <w:pPr>
        <w:keepNext w:val="0"/>
        <w:keepLines w:val="0"/>
        <w:pageBreakBefore w:val="0"/>
        <w:widowControl w:val="0"/>
        <w:kinsoku/>
        <w:wordWrap/>
        <w:overflowPunct/>
        <w:topLinePunct w:val="0"/>
        <w:bidi w:val="0"/>
        <w:spacing w:line="560" w:lineRule="exact"/>
        <w:ind w:firstLine="629"/>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按照有权必有责要求，办法增加对相关应急管理部门、矿山安全监察机构及其他负有安全生产监督管理职责的部门和财政部门及其工作人员，在企业安全生产费用监督管理中存在违法违纪行为进行追责规定。《中华人民共和国安全生产法》第九十条：</w:t>
      </w:r>
      <w:r>
        <w:rPr>
          <w:rFonts w:ascii="仿宋_GB2312" w:hAnsi="楷体" w:eastAsia="仿宋_GB2312" w:cs="宋体"/>
          <w:color w:val="auto"/>
          <w:kern w:val="0"/>
          <w:sz w:val="32"/>
          <w:szCs w:val="32"/>
          <w:highlight w:val="none"/>
        </w:rPr>
        <w:t>负有安全生产监督管理职责的部门的工作人员，有下列行为之一的，给予降级或者撤职的处分；构成犯罪的，依照刑法有关规定追究刑事责任：（三）对已经依法取得批准的单位不履行监督管理职责，发现其不再具备安全生产条件而不撤销原批准或者发现安全生产违法行为不予查处的</w:t>
      </w:r>
      <w:r>
        <w:rPr>
          <w:rFonts w:hint="eastAsia" w:ascii="仿宋_GB2312" w:hAnsi="楷体" w:eastAsia="仿宋_GB2312" w:cs="宋体"/>
          <w:color w:val="auto"/>
          <w:kern w:val="0"/>
          <w:sz w:val="32"/>
          <w:szCs w:val="32"/>
          <w:highlight w:val="none"/>
        </w:rPr>
        <w:t>；（四）在监督检查中发现重大事故隐患，不依法及时处理的</w:t>
      </w:r>
      <w:r>
        <w:rPr>
          <w:rFonts w:ascii="仿宋_GB2312" w:hAnsi="楷体" w:eastAsia="仿宋_GB2312" w:cs="宋体"/>
          <w:color w:val="auto"/>
          <w:kern w:val="0"/>
          <w:sz w:val="32"/>
          <w:szCs w:val="32"/>
          <w:highlight w:val="none"/>
        </w:rPr>
        <w:t>。负有安全</w:t>
      </w:r>
      <w:r>
        <w:rPr>
          <w:rFonts w:hint="eastAsia" w:ascii="仿宋_GB2312" w:hAnsi="楷体" w:eastAsia="仿宋_GB2312" w:cs="宋体"/>
          <w:color w:val="auto"/>
          <w:kern w:val="0"/>
          <w:sz w:val="32"/>
          <w:szCs w:val="32"/>
          <w:highlight w:val="none"/>
        </w:rPr>
        <w:t>生产监督管理职责的部门的工作人员有前款规定以外的滥用职权、玩忽职守、徇私舞弊行为的，依法给予处分；构成犯罪的，依照刑法有关规定追究刑事责任。《中华人民共和国监察法》第十一条：监察委员会依照本法和有关法律规定履行监督、调查、处置职责：（一）对公职人员开展廉政教育，对其依法履职、秉公用权、廉洁从政从业以及道德操守情况进行监督检查；（二）对涉嫌贪污贿赂、滥用职权、玩忽职守、权力寻租、利益输送、徇私舞弊以及浪费国家资财等职务违法和职务犯罪进行调查；（三）对违法的公职人员依法作出政务处分决定；对履行职责不力、失职失责的领导人员进行问责；对涉嫌职务犯罪的，将调查结果移送人民检察院依法审查、提起公诉；向监察对象所在单位提出监察建议。</w:t>
      </w:r>
    </w:p>
    <w:p>
      <w:pPr>
        <w:pStyle w:val="3"/>
        <w:keepNext w:val="0"/>
        <w:keepLines w:val="0"/>
        <w:pageBreakBefore w:val="0"/>
        <w:widowControl w:val="0"/>
        <w:kinsoku/>
        <w:wordWrap/>
        <w:overflowPunct/>
        <w:topLinePunct w:val="0"/>
        <w:bidi w:val="0"/>
        <w:spacing w:before="0" w:after="0" w:line="560" w:lineRule="exact"/>
        <w:jc w:val="center"/>
        <w:rPr>
          <w:rFonts w:hint="eastAsia"/>
          <w:color w:val="auto"/>
          <w:sz w:val="36"/>
          <w:szCs w:val="36"/>
          <w:highlight w:val="none"/>
        </w:rPr>
      </w:pPr>
      <w:bookmarkStart w:id="36" w:name="_Toc147996035"/>
      <w:bookmarkStart w:id="37" w:name="_Toc152145221"/>
    </w:p>
    <w:p>
      <w:pPr>
        <w:pStyle w:val="3"/>
        <w:keepNext w:val="0"/>
        <w:keepLines w:val="0"/>
        <w:pageBreakBefore w:val="0"/>
        <w:widowControl w:val="0"/>
        <w:kinsoku/>
        <w:wordWrap/>
        <w:overflowPunct/>
        <w:topLinePunct w:val="0"/>
        <w:bidi w:val="0"/>
        <w:spacing w:before="0" w:after="0" w:line="560" w:lineRule="exact"/>
        <w:jc w:val="center"/>
        <w:rPr>
          <w:rFonts w:hint="eastAsia"/>
          <w:color w:val="auto"/>
          <w:sz w:val="36"/>
          <w:szCs w:val="36"/>
          <w:highlight w:val="none"/>
        </w:rPr>
      </w:pPr>
      <w:r>
        <w:rPr>
          <w:rFonts w:hint="eastAsia"/>
          <w:color w:val="auto"/>
          <w:sz w:val="36"/>
          <w:szCs w:val="36"/>
          <w:highlight w:val="none"/>
        </w:rPr>
        <w:t>第四章  附则</w:t>
      </w:r>
      <w:bookmarkEnd w:id="36"/>
      <w:bookmarkEnd w:id="37"/>
    </w:p>
    <w:p>
      <w:pPr>
        <w:rPr>
          <w:color w:val="auto"/>
        </w:rPr>
      </w:pP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第六十五条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费用的会计处理，应当符合国家统一的会计制度规定。</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费用财务处理与税收规定不一致的，纳税时应当依法进行调整。</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本条是安全生产费用会计、税收的衔接规定。</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企业安全生产费用的会计处理，应当符合《财政部关于印发企业会计准则解释第3号的通知》（财会〔2009〕8号）等国家统一的会计制度的有关规定。在计算应纳税所得额时，企业安全生产费用财务处理与税收法律、行政法规的规定不一致的，应当按照企业所得税法及其实施条例的规定计算。</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第六十六条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本办法第二条规定范围以外的企业为达到应当具备的安全生产条件所需的资金投入，从成本（费用）中列支。</w:t>
      </w:r>
    </w:p>
    <w:p>
      <w:pPr>
        <w:keepNext w:val="0"/>
        <w:keepLines w:val="0"/>
        <w:pageBreakBefore w:val="0"/>
        <w:widowControl w:val="0"/>
        <w:kinsoku/>
        <w:wordWrap/>
        <w:overflowPunct/>
        <w:topLinePunct w:val="0"/>
        <w:bidi w:val="0"/>
        <w:spacing w:line="560" w:lineRule="exact"/>
        <w:ind w:firstLine="642" w:firstLineChars="200"/>
        <w:rPr>
          <w:rFonts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自营烟花爆竹储存仓库的烟花爆竹销售企业、自营民用爆炸物品储存仓库的民用爆炸物品销售企业，分别参照烟花爆竹生产企业、民用爆炸物品生产企业执行。</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实行企业化管理的事业单位参照本办法执行。</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本条是对办法规定范围外其他企业安全生产投入的指导性规定。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办法主要针对危险性系数高、安全基础薄弱的行业企业，强制性提取必需的安全生产费用，以确保安全生产资金投入，防范安全风险。对于办法规定范围以外的企业，为达到应当具备的安全生产条件所需的资金不强制要求采用安全生产费用计提、使用管理模式，据实列支即可。</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考虑</w:t>
      </w:r>
      <w:r>
        <w:rPr>
          <w:rFonts w:ascii="仿宋_GB2312" w:hAnsi="楷体" w:eastAsia="仿宋_GB2312" w:cs="宋体"/>
          <w:color w:val="auto"/>
          <w:kern w:val="0"/>
          <w:sz w:val="32"/>
          <w:szCs w:val="32"/>
          <w:highlight w:val="none"/>
        </w:rPr>
        <w:t>到</w:t>
      </w:r>
      <w:r>
        <w:rPr>
          <w:rFonts w:hint="eastAsia" w:ascii="仿宋_GB2312" w:hAnsi="楷体" w:eastAsia="仿宋_GB2312" w:cs="宋体"/>
          <w:color w:val="auto"/>
          <w:kern w:val="0"/>
          <w:sz w:val="32"/>
          <w:szCs w:val="32"/>
          <w:highlight w:val="none"/>
        </w:rPr>
        <w:t>自营烟花爆竹储存仓库的烟花爆竹销售企业、自营民用爆炸物品储存仓库的民用爆炸物品销售企业，发生火灾</w:t>
      </w:r>
      <w:r>
        <w:rPr>
          <w:rFonts w:ascii="仿宋_GB2312" w:hAnsi="楷体" w:eastAsia="仿宋_GB2312" w:cs="宋体"/>
          <w:color w:val="auto"/>
          <w:kern w:val="0"/>
          <w:sz w:val="32"/>
          <w:szCs w:val="32"/>
          <w:highlight w:val="none"/>
        </w:rPr>
        <w:t>爆炸危险</w:t>
      </w:r>
      <w:r>
        <w:rPr>
          <w:rFonts w:hint="eastAsia" w:ascii="仿宋_GB2312" w:hAnsi="楷体" w:eastAsia="仿宋_GB2312" w:cs="宋体"/>
          <w:color w:val="auto"/>
          <w:kern w:val="0"/>
          <w:sz w:val="32"/>
          <w:szCs w:val="32"/>
          <w:highlight w:val="none"/>
        </w:rPr>
        <w:t>性</w:t>
      </w:r>
      <w:r>
        <w:rPr>
          <w:rFonts w:ascii="仿宋_GB2312" w:hAnsi="楷体" w:eastAsia="仿宋_GB2312" w:cs="宋体"/>
          <w:color w:val="auto"/>
          <w:kern w:val="0"/>
          <w:sz w:val="32"/>
          <w:szCs w:val="32"/>
          <w:highlight w:val="none"/>
        </w:rPr>
        <w:t>较高，</w:t>
      </w:r>
      <w:r>
        <w:rPr>
          <w:rFonts w:hint="eastAsia" w:ascii="仿宋_GB2312" w:hAnsi="楷体" w:eastAsia="仿宋_GB2312" w:cs="宋体"/>
          <w:color w:val="auto"/>
          <w:kern w:val="0"/>
          <w:sz w:val="32"/>
          <w:szCs w:val="32"/>
          <w:highlight w:val="none"/>
        </w:rPr>
        <w:t>办法规定</w:t>
      </w:r>
      <w:r>
        <w:rPr>
          <w:rFonts w:ascii="仿宋_GB2312" w:hAnsi="楷体" w:eastAsia="仿宋_GB2312" w:cs="宋体"/>
          <w:color w:val="auto"/>
          <w:kern w:val="0"/>
          <w:sz w:val="32"/>
          <w:szCs w:val="32"/>
          <w:highlight w:val="none"/>
        </w:rPr>
        <w:t>其</w:t>
      </w:r>
      <w:r>
        <w:rPr>
          <w:rFonts w:hint="eastAsia" w:ascii="仿宋_GB2312" w:hAnsi="楷体" w:eastAsia="仿宋_GB2312" w:cs="宋体"/>
          <w:color w:val="auto"/>
          <w:kern w:val="0"/>
          <w:sz w:val="32"/>
          <w:szCs w:val="32"/>
          <w:highlight w:val="none"/>
        </w:rPr>
        <w:t>分别参照烟花爆竹生产企业、民用爆炸物品生产企业安全</w:t>
      </w:r>
      <w:r>
        <w:rPr>
          <w:rFonts w:ascii="仿宋_GB2312" w:hAnsi="楷体" w:eastAsia="仿宋_GB2312" w:cs="宋体"/>
          <w:color w:val="auto"/>
          <w:kern w:val="0"/>
          <w:sz w:val="32"/>
          <w:szCs w:val="32"/>
          <w:highlight w:val="none"/>
        </w:rPr>
        <w:t>生产费用提取和使用规定</w:t>
      </w:r>
      <w:r>
        <w:rPr>
          <w:rFonts w:hint="eastAsia" w:ascii="仿宋_GB2312" w:hAnsi="楷体" w:eastAsia="仿宋_GB2312" w:cs="宋体"/>
          <w:color w:val="auto"/>
          <w:kern w:val="0"/>
          <w:sz w:val="32"/>
          <w:szCs w:val="32"/>
          <w:highlight w:val="none"/>
        </w:rPr>
        <w:t>执行。</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ascii="仿宋_GB2312" w:hAnsi="楷体" w:eastAsia="仿宋_GB2312" w:cs="宋体"/>
          <w:color w:val="auto"/>
          <w:kern w:val="0"/>
          <w:sz w:val="32"/>
          <w:szCs w:val="32"/>
          <w:highlight w:val="none"/>
        </w:rPr>
        <w:t>实行企业化管理的事业单位</w:t>
      </w:r>
      <w:r>
        <w:rPr>
          <w:rFonts w:hint="eastAsia" w:ascii="仿宋_GB2312" w:hAnsi="楷体" w:eastAsia="仿宋_GB2312" w:cs="宋体"/>
          <w:color w:val="auto"/>
          <w:kern w:val="0"/>
          <w:sz w:val="32"/>
          <w:szCs w:val="32"/>
          <w:highlight w:val="none"/>
        </w:rPr>
        <w:t>，其经营领域涉及办法规定范围时，需</w:t>
      </w:r>
      <w:r>
        <w:rPr>
          <w:rFonts w:ascii="仿宋_GB2312" w:hAnsi="楷体" w:eastAsia="仿宋_GB2312" w:cs="宋体"/>
          <w:color w:val="auto"/>
          <w:kern w:val="0"/>
          <w:sz w:val="32"/>
          <w:szCs w:val="32"/>
          <w:highlight w:val="none"/>
        </w:rPr>
        <w:t>遵循</w:t>
      </w:r>
      <w:r>
        <w:rPr>
          <w:rFonts w:hint="eastAsia" w:ascii="仿宋_GB2312" w:hAnsi="楷体" w:eastAsia="仿宋_GB2312" w:cs="宋体"/>
          <w:color w:val="auto"/>
          <w:kern w:val="0"/>
          <w:sz w:val="32"/>
          <w:szCs w:val="32"/>
          <w:highlight w:val="none"/>
        </w:rPr>
        <w:t>企业政策</w:t>
      </w:r>
      <w:r>
        <w:rPr>
          <w:rFonts w:ascii="仿宋_GB2312" w:hAnsi="楷体" w:eastAsia="仿宋_GB2312" w:cs="宋体"/>
          <w:color w:val="auto"/>
          <w:kern w:val="0"/>
          <w:sz w:val="32"/>
          <w:szCs w:val="32"/>
          <w:highlight w:val="none"/>
        </w:rPr>
        <w:t>，参照本办法执行</w:t>
      </w:r>
      <w:r>
        <w:rPr>
          <w:rFonts w:hint="eastAsia" w:ascii="仿宋_GB2312" w:hAnsi="楷体" w:eastAsia="仿宋_GB2312" w:cs="宋体"/>
          <w:color w:val="auto"/>
          <w:kern w:val="0"/>
          <w:sz w:val="32"/>
          <w:szCs w:val="32"/>
          <w:highlight w:val="none"/>
        </w:rPr>
        <w:t>安全生产费用提取和使用规定。</w:t>
      </w:r>
    </w:p>
    <w:p>
      <w:pPr>
        <w:keepNext w:val="0"/>
        <w:keepLines w:val="0"/>
        <w:pageBreakBefore w:val="0"/>
        <w:widowControl w:val="0"/>
        <w:kinsoku/>
        <w:wordWrap/>
        <w:overflowPunct/>
        <w:topLinePunct w:val="0"/>
        <w:bidi w:val="0"/>
        <w:spacing w:line="560" w:lineRule="exact"/>
        <w:ind w:firstLine="640" w:firstLineChars="200"/>
        <w:rPr>
          <w:rFonts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第六十七条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各省级应急管理部门、矿山安全监察机构可以结合本地区实际情况，会同相关部门制定特定行业具体办法，报省级人民政府批准后实施。</w:t>
      </w:r>
    </w:p>
    <w:p>
      <w:pPr>
        <w:keepNext w:val="0"/>
        <w:keepLines w:val="0"/>
        <w:pageBreakBefore w:val="0"/>
        <w:widowControl w:val="0"/>
        <w:kinsoku/>
        <w:wordWrap/>
        <w:overflowPunct/>
        <w:topLinePunct w:val="0"/>
        <w:bidi w:val="0"/>
        <w:spacing w:line="560" w:lineRule="exact"/>
        <w:ind w:firstLine="642" w:firstLineChars="200"/>
        <w:rPr>
          <w:rFonts w:hint="eastAsia" w:ascii="仿宋_GB2312" w:hAnsi="仿宋" w:eastAsia="仿宋_GB2312" w:cs="宋体"/>
          <w:b/>
          <w:color w:val="auto"/>
          <w:kern w:val="0"/>
          <w:sz w:val="32"/>
          <w:szCs w:val="32"/>
          <w:highlight w:val="none"/>
        </w:rPr>
      </w:pPr>
      <w:r>
        <w:rPr>
          <w:rFonts w:hint="eastAsia" w:ascii="仿宋_GB2312" w:hAnsi="仿宋" w:eastAsia="仿宋_GB2312" w:cs="宋体"/>
          <w:b/>
          <w:color w:val="auto"/>
          <w:kern w:val="0"/>
          <w:sz w:val="32"/>
          <w:szCs w:val="32"/>
          <w:highlight w:val="none"/>
        </w:rPr>
        <w:t>县级以上应急管理部门应当将本地区企业安全</w:t>
      </w:r>
      <w:r>
        <w:rPr>
          <w:rFonts w:hint="eastAsia" w:ascii="仿宋_GB2312" w:hAnsi="仿宋" w:eastAsia="仿宋_GB2312"/>
          <w:b/>
          <w:color w:val="auto"/>
          <w:kern w:val="0"/>
          <w:sz w:val="32"/>
          <w:szCs w:val="32"/>
          <w:highlight w:val="none"/>
        </w:rPr>
        <w:t>生产</w:t>
      </w:r>
      <w:r>
        <w:rPr>
          <w:rFonts w:hint="eastAsia" w:ascii="仿宋_GB2312" w:hAnsi="仿宋" w:eastAsia="仿宋_GB2312" w:cs="宋体"/>
          <w:b/>
          <w:color w:val="auto"/>
          <w:kern w:val="0"/>
          <w:sz w:val="32"/>
          <w:szCs w:val="32"/>
          <w:highlight w:val="none"/>
        </w:rPr>
        <w:t>费用提取使用情况纳入定期统计分析。</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本条是对有关地方政府部门推动办法实施的相关规定。</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鉴于全国各地区产业结构安全风险差异化特点，为进一步增强办法的实用性，鼓励省级应急管理部门、矿山安全监察机构会同相关部门，结合地区实际研究制定与办法配套的特定行业具体实施办法，报经省级人民政府批准后实施。</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为全面掌握各地区、各有关行业企业安全生产费用提取使用情况，及时发现和解决政策执行中的问题，办法规定县级以上应急管理部门应当将本地区企业安全生产费用提取使用情况纳入定期统计分析，推动企业安全生产费用调查统计工作的制度化，提高监管效率。</w:t>
      </w:r>
    </w:p>
    <w:p>
      <w:pPr>
        <w:keepNext w:val="0"/>
        <w:keepLines w:val="0"/>
        <w:pageBreakBefore w:val="0"/>
        <w:widowControl w:val="0"/>
        <w:kinsoku/>
        <w:wordWrap/>
        <w:overflowPunct/>
        <w:topLinePunct w:val="0"/>
        <w:bidi w:val="0"/>
        <w:spacing w:line="560" w:lineRule="exact"/>
        <w:ind w:firstLine="640" w:firstLineChars="200"/>
        <w:rPr>
          <w:rFonts w:hint="eastAsia" w:ascii="仿宋_GB2312" w:hAnsi="仿宋" w:eastAsia="仿宋_GB2312" w:cs="宋体"/>
          <w:b/>
          <w:color w:val="auto"/>
          <w:kern w:val="0"/>
          <w:sz w:val="32"/>
          <w:szCs w:val="32"/>
          <w:highlight w:val="none"/>
        </w:rPr>
      </w:pPr>
      <w:r>
        <w:rPr>
          <w:rFonts w:hint="eastAsia" w:ascii="黑体" w:hAnsi="黑体" w:eastAsia="黑体"/>
          <w:bCs/>
          <w:color w:val="auto"/>
          <w:kern w:val="44"/>
          <w:sz w:val="32"/>
          <w:szCs w:val="32"/>
          <w:highlight w:val="none"/>
        </w:rPr>
        <w:t>第六十八条</w:t>
      </w:r>
      <w:r>
        <w:rPr>
          <w:rFonts w:hint="eastAsia" w:ascii="仿宋_GB2312" w:hAnsi="仿宋" w:eastAsia="仿宋_GB2312" w:cs="宋体"/>
          <w:bCs/>
          <w:color w:val="auto"/>
          <w:kern w:val="0"/>
          <w:sz w:val="32"/>
          <w:szCs w:val="32"/>
          <w:highlight w:val="none"/>
        </w:rPr>
        <w:t xml:space="preserve"> </w:t>
      </w:r>
      <w:r>
        <w:rPr>
          <w:rFonts w:hint="eastAsia" w:ascii="仿宋_GB2312" w:hAnsi="仿宋" w:eastAsia="仿宋_GB2312" w:cs="宋体"/>
          <w:b/>
          <w:color w:val="auto"/>
          <w:kern w:val="0"/>
          <w:sz w:val="32"/>
          <w:szCs w:val="32"/>
          <w:highlight w:val="none"/>
        </w:rPr>
        <w:t>本办法由财政部、应急部负责解释。</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本条是办法解释权属部门规定。</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kern w:val="0"/>
          <w:sz w:val="32"/>
          <w:szCs w:val="32"/>
          <w:highlight w:val="none"/>
        </w:rPr>
      </w:pPr>
      <w:r>
        <w:rPr>
          <w:rFonts w:hint="eastAsia" w:ascii="仿宋_GB2312" w:hAnsi="楷体" w:eastAsia="仿宋_GB2312" w:cs="宋体"/>
          <w:color w:val="auto"/>
          <w:kern w:val="0"/>
          <w:sz w:val="32"/>
          <w:szCs w:val="32"/>
          <w:highlight w:val="none"/>
        </w:rPr>
        <w:t>办法由财政部、应急部联合制定发布，办法解释权属于财政部和应急部。</w:t>
      </w:r>
    </w:p>
    <w:p>
      <w:pPr>
        <w:keepNext w:val="0"/>
        <w:keepLines w:val="0"/>
        <w:pageBreakBefore w:val="0"/>
        <w:widowControl w:val="0"/>
        <w:kinsoku/>
        <w:wordWrap/>
        <w:overflowPunct/>
        <w:topLinePunct w:val="0"/>
        <w:bidi w:val="0"/>
        <w:spacing w:line="560" w:lineRule="exact"/>
        <w:ind w:firstLine="640" w:firstLineChars="200"/>
        <w:rPr>
          <w:rStyle w:val="61"/>
          <w:rFonts w:hint="eastAsia" w:eastAsia="仿宋_GB2312"/>
          <w:b/>
          <w:bCs/>
          <w:color w:val="auto"/>
          <w:spacing w:val="0"/>
          <w:sz w:val="32"/>
          <w:szCs w:val="32"/>
          <w:lang w:val="en-US" w:eastAsia="zh-CN" w:bidi="ar"/>
        </w:rPr>
      </w:pPr>
      <w:r>
        <w:rPr>
          <w:rFonts w:hint="eastAsia" w:ascii="黑体" w:hAnsi="黑体" w:eastAsia="黑体"/>
          <w:bCs/>
          <w:color w:val="auto"/>
          <w:kern w:val="44"/>
          <w:sz w:val="32"/>
          <w:szCs w:val="32"/>
          <w:highlight w:val="none"/>
        </w:rPr>
        <w:t>第六十九条</w:t>
      </w:r>
      <w:r>
        <w:rPr>
          <w:rFonts w:hint="eastAsia" w:ascii="仿宋_GB2312" w:hAnsi="宋体" w:eastAsia="仿宋_GB2312" w:cs="宋体"/>
          <w:bCs/>
          <w:color w:val="auto"/>
          <w:sz w:val="32"/>
          <w:szCs w:val="32"/>
          <w:highlight w:val="none"/>
        </w:rPr>
        <w:t xml:space="preserve"> </w:t>
      </w:r>
      <w:r>
        <w:rPr>
          <w:rFonts w:hint="eastAsia" w:ascii="仿宋_GB2312" w:hAnsi="仿宋" w:eastAsia="仿宋_GB2312" w:cs="宋体"/>
          <w:b/>
          <w:color w:val="auto"/>
          <w:sz w:val="32"/>
          <w:szCs w:val="32"/>
          <w:highlight w:val="none"/>
        </w:rPr>
        <w:t>本</w:t>
      </w:r>
      <w:r>
        <w:rPr>
          <w:rStyle w:val="61"/>
          <w:rFonts w:hint="eastAsia" w:eastAsia="仿宋_GB2312"/>
          <w:b/>
          <w:bCs/>
          <w:color w:val="auto"/>
          <w:spacing w:val="0"/>
          <w:sz w:val="32"/>
          <w:szCs w:val="32"/>
          <w:lang w:val="en-US" w:eastAsia="zh-CN" w:bidi="ar"/>
        </w:rPr>
        <w:t>办法自印发之日起施行。《企业安全生产费用提取和使用管理办法》（财企〔2012〕16号）同时废止。</w:t>
      </w:r>
    </w:p>
    <w:p>
      <w:pPr>
        <w:keepNext w:val="0"/>
        <w:keepLines w:val="0"/>
        <w:pageBreakBefore w:val="0"/>
        <w:widowControl w:val="0"/>
        <w:kinsoku/>
        <w:wordWrap/>
        <w:overflowPunct/>
        <w:topLinePunct w:val="0"/>
        <w:bidi w:val="0"/>
        <w:spacing w:line="560" w:lineRule="exact"/>
        <w:ind w:firstLine="640" w:firstLineChars="200"/>
        <w:rPr>
          <w:rFonts w:ascii="仿宋_GB2312" w:hAnsi="楷体" w:eastAsia="仿宋_GB2312" w:cs="宋体"/>
          <w:color w:val="auto"/>
          <w:sz w:val="32"/>
          <w:szCs w:val="32"/>
          <w:highlight w:val="none"/>
        </w:rPr>
      </w:pPr>
      <w:r>
        <w:rPr>
          <w:rFonts w:hint="eastAsia" w:ascii="仿宋_GB2312" w:hAnsi="楷体" w:eastAsia="仿宋_GB2312" w:cs="宋体"/>
          <w:color w:val="auto"/>
          <w:sz w:val="32"/>
          <w:szCs w:val="32"/>
          <w:highlight w:val="none"/>
        </w:rPr>
        <w:t>【解读】</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本条是办法生效的时间。</w:t>
      </w:r>
    </w:p>
    <w:p>
      <w:pPr>
        <w:keepNext w:val="0"/>
        <w:keepLines w:val="0"/>
        <w:pageBreakBefore w:val="0"/>
        <w:widowControl w:val="0"/>
        <w:tabs>
          <w:tab w:val="left" w:pos="1418"/>
        </w:tabs>
        <w:kinsoku/>
        <w:wordWrap/>
        <w:overflowPunct/>
        <w:topLinePunct w:val="0"/>
        <w:bidi w:val="0"/>
        <w:spacing w:line="560" w:lineRule="exact"/>
        <w:ind w:firstLine="640" w:firstLineChars="200"/>
        <w:rPr>
          <w:rStyle w:val="61"/>
          <w:rFonts w:hint="eastAsia" w:eastAsia="仿宋_GB2312"/>
          <w:color w:val="auto"/>
          <w:spacing w:val="0"/>
          <w:sz w:val="32"/>
          <w:szCs w:val="32"/>
          <w:lang w:val="en-US" w:eastAsia="zh-CN" w:bidi="ar"/>
        </w:rPr>
      </w:pPr>
      <w:r>
        <w:rPr>
          <w:rStyle w:val="61"/>
          <w:rFonts w:hint="eastAsia" w:eastAsia="仿宋_GB2312"/>
          <w:color w:val="auto"/>
          <w:spacing w:val="0"/>
          <w:sz w:val="32"/>
          <w:szCs w:val="32"/>
          <w:lang w:val="en-US" w:eastAsia="zh-CN" w:bidi="ar"/>
        </w:rPr>
        <w:t>本办法于2022年11月21日印发，办法所涉企业于印发之日起按新办法规定执行，《企业安全生产费用提取和使用管理办法》（财企〔2012〕16号）同时废止。</w:t>
      </w:r>
    </w:p>
    <w:sectPr>
      <w:footerReference r:id="rId5" w:type="default"/>
      <w:pgSz w:w="11906" w:h="16838"/>
      <w:pgMar w:top="1701" w:right="1474" w:bottom="1417" w:left="1474"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华文仿宋"/>
    <w:panose1 w:val="02010600030101010101"/>
    <w:charset w:val="86"/>
    <w:family w:val="auto"/>
    <w:pitch w:val="default"/>
    <w:sig w:usb0="00000000" w:usb1="00000000" w:usb2="00000016" w:usb3="00000000" w:csb0="0004000F" w:csb1="00000000"/>
  </w:font>
  <w:font w:name="等线">
    <w:altName w:val="华文仿宋"/>
    <w:panose1 w:val="00000000000000000000"/>
    <w:charset w:val="86"/>
    <w:family w:val="auto"/>
    <w:pitch w:val="default"/>
    <w:sig w:usb0="00000000" w:usb1="00000000" w:usb2="00000000" w:usb3="00000000" w:csb0="00000000" w:csb1="00000000"/>
  </w:font>
  <w:font w:name="等线">
    <w:altName w:val="URW Bookman"/>
    <w:panose1 w:val="00000000000000000000"/>
    <w:charset w:val="00"/>
    <w:family w:val="auto"/>
    <w:pitch w:val="default"/>
    <w:sig w:usb0="00000000" w:usb1="00000000" w:usb2="00000000" w:usb3="00000000" w:csb0="00000000" w:csb1="00000000"/>
  </w:font>
  <w:font w:name="等线 Light">
    <w:altName w:val="华文仿宋"/>
    <w:panose1 w:val="02010600030101010101"/>
    <w:charset w:val="86"/>
    <w:family w:val="auto"/>
    <w:pitch w:val="default"/>
    <w:sig w:usb0="00000000" w:usb1="00000000" w:usb2="00000016" w:usb3="00000000" w:csb0="0004000F" w:csb1="00000000"/>
  </w:font>
  <w:font w:name="仿宋_GB2312">
    <w:altName w:val="方正仿宋_GBK"/>
    <w:panose1 w:val="02010609030101010101"/>
    <w:charset w:val="86"/>
    <w:family w:val="modern"/>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华文中宋">
    <w:altName w:val="汉仪中宋简"/>
    <w:panose1 w:val="02010600040101010101"/>
    <w:charset w:val="86"/>
    <w:family w:val="auto"/>
    <w:pitch w:val="default"/>
    <w:sig w:usb0="00000000" w:usb1="0000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 w:name="URW Bookman">
    <w:panose1 w:val="00000400000000000000"/>
    <w:charset w:val="00"/>
    <w:family w:val="auto"/>
    <w:pitch w:val="default"/>
    <w:sig w:usb0="00000287" w:usb1="00000800" w:usb2="00000000" w:usb3="00000000" w:csb0="6000009F" w:csb1="00000000"/>
  </w:font>
  <w:font w:name="汉仪中宋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仿宋_GBK">
    <w:panose1 w:val="02000000000000000000"/>
    <w:charset w:val="86"/>
    <w:family w:val="auto"/>
    <w:pitch w:val="default"/>
    <w:sig w:usb0="00000001" w:usb1="08000000" w:usb2="00000000" w:usb3="00000000" w:csb0="00040000" w:csb1="00000000"/>
  </w:font>
  <w:font w:name="等线 Light">
    <w:altName w:val="URW Bookman"/>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00"/>
    <w:family w:val="auto"/>
    <w:pitch w:val="default"/>
    <w:sig w:usb0="00000000" w:usb1="00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6"/>
                          </w:pPr>
                          <w:r>
                            <w:t xml:space="preserve">— </w:t>
                          </w:r>
                          <w:r>
                            <w:fldChar w:fldCharType="begin"/>
                          </w:r>
                          <w:r>
                            <w:instrText xml:space="preserve"> PAGE  \* MERGEFORMAT </w:instrText>
                          </w:r>
                          <w:r>
                            <w:fldChar w:fldCharType="separate"/>
                          </w:r>
                          <w:r>
                            <w:t>i</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SFJLyA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FgAAAGRycy9QSwECFAAUAAAA&#10;CACHTuJAs0lY7tAAAAAFAQAADwAAAAAAAAABACAAAAA4AAAAZHJzL2Rvd25yZXYueG1sUEsBAhQA&#10;FAAAAAgAh07iQHZIUkvIAgAA7AUAAA4AAAAAAAAAAQAgAAAANQEAAGRycy9lMm9Eb2MueG1sUEsF&#10;BgAAAAAGAAYAWQEAAG8GAAAAAA==&#10;">
              <v:fill on="f" focussize="0,0"/>
              <v:stroke on="f" weight="0.5pt"/>
              <v:imagedata o:title=""/>
              <o:lock v:ext="edit" aspectratio="f"/>
              <v:textbox inset="0mm,0mm,0mm,0mm" style="mso-fit-shape-to-text:t;">
                <w:txbxContent>
                  <w:p>
                    <w:pPr>
                      <w:pStyle w:val="16"/>
                    </w:pPr>
                    <w:r>
                      <w:t xml:space="preserve">— </w:t>
                    </w:r>
                    <w:r>
                      <w:fldChar w:fldCharType="begin"/>
                    </w:r>
                    <w:r>
                      <w:instrText xml:space="preserve"> PAGE  \* MERGEFORMAT </w:instrText>
                    </w:r>
                    <w:r>
                      <w:fldChar w:fldCharType="separate"/>
                    </w:r>
                    <w:r>
                      <w:t>i</w:t>
                    </w:r>
                    <w:r>
                      <w:fldChar w:fldCharType="end"/>
                    </w:r>
                    <w:r>
                      <w:t xml:space="preserve"> —</w:t>
                    </w:r>
                  </w:p>
                </w:txbxContent>
              </v:textbox>
            </v:shape>
          </w:pict>
        </mc:Fallback>
      </mc:AlternateContent>
    </w:r>
    <w:sdt>
      <w:sdtPr>
        <w:id w:val="1724647585"/>
        <w:docPartObj>
          <w:docPartGallery w:val="autotext"/>
        </w:docPartObj>
      </w:sdtPr>
      <w:sdtContent/>
    </w:sdt>
  </w:p>
  <w:p>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AfuQZdyQIAAOwFAAAOAAAAAAAAAAEAIAAAADUBAABkcnMvZTJvRG9jLnhtbFBL&#10;BQYAAAAABgAGAFkBAABwBgAAAAA=&#10;">
              <v:fill on="f" focussize="0,0"/>
              <v:stroke on="f" weight="0.5pt"/>
              <v:imagedata o:title=""/>
              <o:lock v:ext="edit" aspectratio="f"/>
              <v:textbox inset="0mm,0mm,0mm,0mm" style="mso-fit-shape-to-text:t;">
                <w:txbxContent>
                  <w:p>
                    <w:pPr>
                      <w:pStyle w:val="1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6"/>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AHFBrmyQIAAOwFAAAOAAAAAAAAAAEAIAAAADUBAABkcnMvZTJvRG9jLnhtbFBL&#10;BQYAAAAABgAGAFkBAABwBgAAAAA=&#10;">
              <v:fill on="f" focussize="0,0"/>
              <v:stroke on="f" weight="0.5pt"/>
              <v:imagedata o:title=""/>
              <o:lock v:ext="edit" aspectratio="f"/>
              <v:textbox inset="0mm,0mm,0mm,0mm" style="mso-fit-shape-to-text:t;">
                <w:txbxContent>
                  <w:p>
                    <w:pPr>
                      <w:pStyle w:val="16"/>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shape>
          </w:pict>
        </mc:Fallback>
      </mc:AlternateContent>
    </w:r>
  </w:p>
  <w:p>
    <w:pPr>
      <w:pStyle w:val="1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cwOTI4Y2JkYjcwNzY3MmI4ZmJiZGIzZTY3MmY2ZGYifQ=="/>
  </w:docVars>
  <w:rsids>
    <w:rsidRoot w:val="00DD016D"/>
    <w:rsid w:val="000014B2"/>
    <w:rsid w:val="0000176B"/>
    <w:rsid w:val="0000193C"/>
    <w:rsid w:val="00002659"/>
    <w:rsid w:val="000027E9"/>
    <w:rsid w:val="00002D28"/>
    <w:rsid w:val="00002F3E"/>
    <w:rsid w:val="0000359E"/>
    <w:rsid w:val="00003A00"/>
    <w:rsid w:val="00004475"/>
    <w:rsid w:val="00004F5E"/>
    <w:rsid w:val="00005B90"/>
    <w:rsid w:val="00005C4A"/>
    <w:rsid w:val="000061B7"/>
    <w:rsid w:val="00006243"/>
    <w:rsid w:val="000065C8"/>
    <w:rsid w:val="00006970"/>
    <w:rsid w:val="00006B67"/>
    <w:rsid w:val="0000744B"/>
    <w:rsid w:val="0000757E"/>
    <w:rsid w:val="00007B23"/>
    <w:rsid w:val="00007CA7"/>
    <w:rsid w:val="000101F8"/>
    <w:rsid w:val="00010753"/>
    <w:rsid w:val="000119E6"/>
    <w:rsid w:val="00012497"/>
    <w:rsid w:val="00012D4A"/>
    <w:rsid w:val="00012FC5"/>
    <w:rsid w:val="00012FCD"/>
    <w:rsid w:val="00013D0D"/>
    <w:rsid w:val="00013F59"/>
    <w:rsid w:val="0001567E"/>
    <w:rsid w:val="00015A37"/>
    <w:rsid w:val="00015AF1"/>
    <w:rsid w:val="0001600D"/>
    <w:rsid w:val="00016278"/>
    <w:rsid w:val="00016634"/>
    <w:rsid w:val="00017092"/>
    <w:rsid w:val="0001736E"/>
    <w:rsid w:val="00017ACA"/>
    <w:rsid w:val="00017EE9"/>
    <w:rsid w:val="0002091D"/>
    <w:rsid w:val="000214B0"/>
    <w:rsid w:val="00021BDE"/>
    <w:rsid w:val="00022278"/>
    <w:rsid w:val="00022484"/>
    <w:rsid w:val="00022555"/>
    <w:rsid w:val="0002355F"/>
    <w:rsid w:val="00023AFE"/>
    <w:rsid w:val="00023D91"/>
    <w:rsid w:val="000241F0"/>
    <w:rsid w:val="00024918"/>
    <w:rsid w:val="00024F47"/>
    <w:rsid w:val="000251BE"/>
    <w:rsid w:val="00025FEF"/>
    <w:rsid w:val="0002608A"/>
    <w:rsid w:val="000268DE"/>
    <w:rsid w:val="00026954"/>
    <w:rsid w:val="00026DE1"/>
    <w:rsid w:val="000302C2"/>
    <w:rsid w:val="00030393"/>
    <w:rsid w:val="00030725"/>
    <w:rsid w:val="00030871"/>
    <w:rsid w:val="00031101"/>
    <w:rsid w:val="00031116"/>
    <w:rsid w:val="000311AA"/>
    <w:rsid w:val="00031210"/>
    <w:rsid w:val="00031612"/>
    <w:rsid w:val="00031D25"/>
    <w:rsid w:val="00032250"/>
    <w:rsid w:val="00032337"/>
    <w:rsid w:val="000324F0"/>
    <w:rsid w:val="000326E7"/>
    <w:rsid w:val="00033082"/>
    <w:rsid w:val="00033E75"/>
    <w:rsid w:val="000345BA"/>
    <w:rsid w:val="00034783"/>
    <w:rsid w:val="0003532A"/>
    <w:rsid w:val="00035528"/>
    <w:rsid w:val="000355D1"/>
    <w:rsid w:val="00035D00"/>
    <w:rsid w:val="00036139"/>
    <w:rsid w:val="0003633E"/>
    <w:rsid w:val="00036474"/>
    <w:rsid w:val="000364A5"/>
    <w:rsid w:val="00036F8C"/>
    <w:rsid w:val="0003704A"/>
    <w:rsid w:val="0003761F"/>
    <w:rsid w:val="000377E4"/>
    <w:rsid w:val="00037830"/>
    <w:rsid w:val="00037956"/>
    <w:rsid w:val="00037B6D"/>
    <w:rsid w:val="00037D36"/>
    <w:rsid w:val="00040558"/>
    <w:rsid w:val="00040AB7"/>
    <w:rsid w:val="00040C3C"/>
    <w:rsid w:val="00040F47"/>
    <w:rsid w:val="0004105C"/>
    <w:rsid w:val="0004174F"/>
    <w:rsid w:val="0004175E"/>
    <w:rsid w:val="00041A75"/>
    <w:rsid w:val="00041BC8"/>
    <w:rsid w:val="00042644"/>
    <w:rsid w:val="0004276F"/>
    <w:rsid w:val="00042F16"/>
    <w:rsid w:val="00043396"/>
    <w:rsid w:val="000433D2"/>
    <w:rsid w:val="000436E9"/>
    <w:rsid w:val="00043707"/>
    <w:rsid w:val="00043927"/>
    <w:rsid w:val="00043F14"/>
    <w:rsid w:val="000440B4"/>
    <w:rsid w:val="000444D1"/>
    <w:rsid w:val="00044E09"/>
    <w:rsid w:val="0004576B"/>
    <w:rsid w:val="0004579F"/>
    <w:rsid w:val="00045C71"/>
    <w:rsid w:val="00045D01"/>
    <w:rsid w:val="00046136"/>
    <w:rsid w:val="000478D5"/>
    <w:rsid w:val="00047973"/>
    <w:rsid w:val="0004797D"/>
    <w:rsid w:val="000502D7"/>
    <w:rsid w:val="0005090A"/>
    <w:rsid w:val="00050982"/>
    <w:rsid w:val="000509C7"/>
    <w:rsid w:val="00050A4B"/>
    <w:rsid w:val="000512B0"/>
    <w:rsid w:val="000514B0"/>
    <w:rsid w:val="000514B5"/>
    <w:rsid w:val="000515B7"/>
    <w:rsid w:val="00052342"/>
    <w:rsid w:val="00052680"/>
    <w:rsid w:val="0005269F"/>
    <w:rsid w:val="00052B26"/>
    <w:rsid w:val="00053036"/>
    <w:rsid w:val="000534F6"/>
    <w:rsid w:val="0005375F"/>
    <w:rsid w:val="0005491B"/>
    <w:rsid w:val="00054D76"/>
    <w:rsid w:val="00055641"/>
    <w:rsid w:val="0005599C"/>
    <w:rsid w:val="000565BC"/>
    <w:rsid w:val="00056A3F"/>
    <w:rsid w:val="00056D79"/>
    <w:rsid w:val="00057147"/>
    <w:rsid w:val="0005716D"/>
    <w:rsid w:val="0005754F"/>
    <w:rsid w:val="00057E7B"/>
    <w:rsid w:val="0006015A"/>
    <w:rsid w:val="00060467"/>
    <w:rsid w:val="000605B8"/>
    <w:rsid w:val="000609A5"/>
    <w:rsid w:val="00060A92"/>
    <w:rsid w:val="00060D99"/>
    <w:rsid w:val="000617ED"/>
    <w:rsid w:val="00061CF1"/>
    <w:rsid w:val="0006213A"/>
    <w:rsid w:val="0006278E"/>
    <w:rsid w:val="000628C5"/>
    <w:rsid w:val="000630B6"/>
    <w:rsid w:val="000635F5"/>
    <w:rsid w:val="00063B4E"/>
    <w:rsid w:val="00063C0A"/>
    <w:rsid w:val="00065446"/>
    <w:rsid w:val="000655CB"/>
    <w:rsid w:val="000658E7"/>
    <w:rsid w:val="0006592E"/>
    <w:rsid w:val="00065C97"/>
    <w:rsid w:val="00066473"/>
    <w:rsid w:val="0006778F"/>
    <w:rsid w:val="00067BEE"/>
    <w:rsid w:val="00067C77"/>
    <w:rsid w:val="000703C8"/>
    <w:rsid w:val="00070579"/>
    <w:rsid w:val="00070CE5"/>
    <w:rsid w:val="00071877"/>
    <w:rsid w:val="0007195C"/>
    <w:rsid w:val="00071FEA"/>
    <w:rsid w:val="00072100"/>
    <w:rsid w:val="0007426B"/>
    <w:rsid w:val="00074C8C"/>
    <w:rsid w:val="00074CDB"/>
    <w:rsid w:val="00074D6E"/>
    <w:rsid w:val="00074F74"/>
    <w:rsid w:val="0007523A"/>
    <w:rsid w:val="00075DBC"/>
    <w:rsid w:val="0007620A"/>
    <w:rsid w:val="0007756B"/>
    <w:rsid w:val="0007794B"/>
    <w:rsid w:val="00080363"/>
    <w:rsid w:val="00081DCA"/>
    <w:rsid w:val="00081E53"/>
    <w:rsid w:val="000822D2"/>
    <w:rsid w:val="000830A2"/>
    <w:rsid w:val="00083A08"/>
    <w:rsid w:val="00083BB9"/>
    <w:rsid w:val="000847DE"/>
    <w:rsid w:val="00084BAE"/>
    <w:rsid w:val="00084F62"/>
    <w:rsid w:val="00085141"/>
    <w:rsid w:val="000859CE"/>
    <w:rsid w:val="00085A4C"/>
    <w:rsid w:val="000866FD"/>
    <w:rsid w:val="00086942"/>
    <w:rsid w:val="000869C9"/>
    <w:rsid w:val="00086F62"/>
    <w:rsid w:val="0008732B"/>
    <w:rsid w:val="0008734A"/>
    <w:rsid w:val="00090A46"/>
    <w:rsid w:val="00090DE6"/>
    <w:rsid w:val="0009145B"/>
    <w:rsid w:val="00091810"/>
    <w:rsid w:val="000919E3"/>
    <w:rsid w:val="0009202E"/>
    <w:rsid w:val="0009235F"/>
    <w:rsid w:val="00092596"/>
    <w:rsid w:val="00092A0F"/>
    <w:rsid w:val="000930DB"/>
    <w:rsid w:val="000932BE"/>
    <w:rsid w:val="00093340"/>
    <w:rsid w:val="00094028"/>
    <w:rsid w:val="00094050"/>
    <w:rsid w:val="000949B4"/>
    <w:rsid w:val="0009618A"/>
    <w:rsid w:val="000963DE"/>
    <w:rsid w:val="0009789A"/>
    <w:rsid w:val="00097B9B"/>
    <w:rsid w:val="000A02F4"/>
    <w:rsid w:val="000A05CD"/>
    <w:rsid w:val="000A067E"/>
    <w:rsid w:val="000A0EE6"/>
    <w:rsid w:val="000A10DC"/>
    <w:rsid w:val="000A1362"/>
    <w:rsid w:val="000A17CE"/>
    <w:rsid w:val="000A19FE"/>
    <w:rsid w:val="000A276A"/>
    <w:rsid w:val="000A27D1"/>
    <w:rsid w:val="000A3112"/>
    <w:rsid w:val="000A3783"/>
    <w:rsid w:val="000A3F15"/>
    <w:rsid w:val="000A423C"/>
    <w:rsid w:val="000A4441"/>
    <w:rsid w:val="000A49B9"/>
    <w:rsid w:val="000A5D70"/>
    <w:rsid w:val="000A62E2"/>
    <w:rsid w:val="000A645B"/>
    <w:rsid w:val="000A6AD2"/>
    <w:rsid w:val="000A6C84"/>
    <w:rsid w:val="000A6D70"/>
    <w:rsid w:val="000A6E46"/>
    <w:rsid w:val="000A7F33"/>
    <w:rsid w:val="000B0268"/>
    <w:rsid w:val="000B07F8"/>
    <w:rsid w:val="000B09B5"/>
    <w:rsid w:val="000B0D97"/>
    <w:rsid w:val="000B1142"/>
    <w:rsid w:val="000B12C0"/>
    <w:rsid w:val="000B14C2"/>
    <w:rsid w:val="000B16A1"/>
    <w:rsid w:val="000B16FE"/>
    <w:rsid w:val="000B1ABE"/>
    <w:rsid w:val="000B1D42"/>
    <w:rsid w:val="000B1E25"/>
    <w:rsid w:val="000B1FEE"/>
    <w:rsid w:val="000B2B0F"/>
    <w:rsid w:val="000B373E"/>
    <w:rsid w:val="000B38A0"/>
    <w:rsid w:val="000B390A"/>
    <w:rsid w:val="000B3C6C"/>
    <w:rsid w:val="000B3F29"/>
    <w:rsid w:val="000B43DA"/>
    <w:rsid w:val="000B4B51"/>
    <w:rsid w:val="000B527A"/>
    <w:rsid w:val="000B5C2A"/>
    <w:rsid w:val="000B60F4"/>
    <w:rsid w:val="000B625C"/>
    <w:rsid w:val="000B639D"/>
    <w:rsid w:val="000B6D35"/>
    <w:rsid w:val="000B7613"/>
    <w:rsid w:val="000C01AC"/>
    <w:rsid w:val="000C2061"/>
    <w:rsid w:val="000C2204"/>
    <w:rsid w:val="000C2589"/>
    <w:rsid w:val="000C2719"/>
    <w:rsid w:val="000C2881"/>
    <w:rsid w:val="000C2A39"/>
    <w:rsid w:val="000C2CFC"/>
    <w:rsid w:val="000C33E3"/>
    <w:rsid w:val="000C3570"/>
    <w:rsid w:val="000C3809"/>
    <w:rsid w:val="000C3BFF"/>
    <w:rsid w:val="000C3F0A"/>
    <w:rsid w:val="000C42CD"/>
    <w:rsid w:val="000C488F"/>
    <w:rsid w:val="000C550A"/>
    <w:rsid w:val="000C5E50"/>
    <w:rsid w:val="000C6993"/>
    <w:rsid w:val="000C7E53"/>
    <w:rsid w:val="000C7F44"/>
    <w:rsid w:val="000D02FE"/>
    <w:rsid w:val="000D032F"/>
    <w:rsid w:val="000D0735"/>
    <w:rsid w:val="000D0A3E"/>
    <w:rsid w:val="000D126C"/>
    <w:rsid w:val="000D1905"/>
    <w:rsid w:val="000D2555"/>
    <w:rsid w:val="000D2712"/>
    <w:rsid w:val="000D29FC"/>
    <w:rsid w:val="000D2A44"/>
    <w:rsid w:val="000D2A5B"/>
    <w:rsid w:val="000D2E40"/>
    <w:rsid w:val="000D2F42"/>
    <w:rsid w:val="000D3DE4"/>
    <w:rsid w:val="000D44E7"/>
    <w:rsid w:val="000D4524"/>
    <w:rsid w:val="000D4853"/>
    <w:rsid w:val="000D4A9C"/>
    <w:rsid w:val="000D4F39"/>
    <w:rsid w:val="000D5558"/>
    <w:rsid w:val="000D5B71"/>
    <w:rsid w:val="000D5C48"/>
    <w:rsid w:val="000D61AC"/>
    <w:rsid w:val="000D642B"/>
    <w:rsid w:val="000D6611"/>
    <w:rsid w:val="000D6734"/>
    <w:rsid w:val="000D6922"/>
    <w:rsid w:val="000D6A90"/>
    <w:rsid w:val="000D6AB5"/>
    <w:rsid w:val="000D73C7"/>
    <w:rsid w:val="000D76D3"/>
    <w:rsid w:val="000D76FA"/>
    <w:rsid w:val="000E0477"/>
    <w:rsid w:val="000E0B48"/>
    <w:rsid w:val="000E0C75"/>
    <w:rsid w:val="000E0F0A"/>
    <w:rsid w:val="000E12CB"/>
    <w:rsid w:val="000E1BA4"/>
    <w:rsid w:val="000E1C83"/>
    <w:rsid w:val="000E1E7E"/>
    <w:rsid w:val="000E279B"/>
    <w:rsid w:val="000E2E2C"/>
    <w:rsid w:val="000E302C"/>
    <w:rsid w:val="000E3116"/>
    <w:rsid w:val="000E3420"/>
    <w:rsid w:val="000E35A7"/>
    <w:rsid w:val="000E3713"/>
    <w:rsid w:val="000E383C"/>
    <w:rsid w:val="000E3AFC"/>
    <w:rsid w:val="000E40AB"/>
    <w:rsid w:val="000E4719"/>
    <w:rsid w:val="000E4923"/>
    <w:rsid w:val="000E58F1"/>
    <w:rsid w:val="000E5B48"/>
    <w:rsid w:val="000E6057"/>
    <w:rsid w:val="000E65E5"/>
    <w:rsid w:val="000E6CE7"/>
    <w:rsid w:val="000E7418"/>
    <w:rsid w:val="000E7716"/>
    <w:rsid w:val="000E796D"/>
    <w:rsid w:val="000F23EA"/>
    <w:rsid w:val="000F248E"/>
    <w:rsid w:val="000F27AC"/>
    <w:rsid w:val="000F3514"/>
    <w:rsid w:val="000F3FEC"/>
    <w:rsid w:val="000F4134"/>
    <w:rsid w:val="000F4296"/>
    <w:rsid w:val="000F4988"/>
    <w:rsid w:val="000F4A4C"/>
    <w:rsid w:val="000F4C7F"/>
    <w:rsid w:val="000F526F"/>
    <w:rsid w:val="000F5363"/>
    <w:rsid w:val="000F58C7"/>
    <w:rsid w:val="000F599E"/>
    <w:rsid w:val="000F5BC4"/>
    <w:rsid w:val="000F5D0C"/>
    <w:rsid w:val="000F6685"/>
    <w:rsid w:val="000F684D"/>
    <w:rsid w:val="000F688C"/>
    <w:rsid w:val="000F6EC1"/>
    <w:rsid w:val="000F7B6F"/>
    <w:rsid w:val="000F7E0C"/>
    <w:rsid w:val="000F7EF5"/>
    <w:rsid w:val="0010002F"/>
    <w:rsid w:val="00100598"/>
    <w:rsid w:val="00100DE4"/>
    <w:rsid w:val="00100DEF"/>
    <w:rsid w:val="00101692"/>
    <w:rsid w:val="0010290D"/>
    <w:rsid w:val="00102B72"/>
    <w:rsid w:val="001036B5"/>
    <w:rsid w:val="00103A51"/>
    <w:rsid w:val="00103AD6"/>
    <w:rsid w:val="00103D87"/>
    <w:rsid w:val="0010424A"/>
    <w:rsid w:val="0010451F"/>
    <w:rsid w:val="00105250"/>
    <w:rsid w:val="001053C3"/>
    <w:rsid w:val="001055BF"/>
    <w:rsid w:val="00106175"/>
    <w:rsid w:val="0010654C"/>
    <w:rsid w:val="001065AA"/>
    <w:rsid w:val="00106616"/>
    <w:rsid w:val="00106A85"/>
    <w:rsid w:val="00107A45"/>
    <w:rsid w:val="00107E48"/>
    <w:rsid w:val="00110108"/>
    <w:rsid w:val="00110479"/>
    <w:rsid w:val="00110643"/>
    <w:rsid w:val="00111A75"/>
    <w:rsid w:val="00112D8D"/>
    <w:rsid w:val="00112DB2"/>
    <w:rsid w:val="00112DF3"/>
    <w:rsid w:val="00113231"/>
    <w:rsid w:val="00113C48"/>
    <w:rsid w:val="00113FFE"/>
    <w:rsid w:val="00114208"/>
    <w:rsid w:val="00114B50"/>
    <w:rsid w:val="0011524C"/>
    <w:rsid w:val="001152DC"/>
    <w:rsid w:val="00115773"/>
    <w:rsid w:val="00115D3F"/>
    <w:rsid w:val="0011619E"/>
    <w:rsid w:val="001168D3"/>
    <w:rsid w:val="0011747F"/>
    <w:rsid w:val="001175CA"/>
    <w:rsid w:val="00117C7F"/>
    <w:rsid w:val="00120D19"/>
    <w:rsid w:val="00120ED0"/>
    <w:rsid w:val="001211F4"/>
    <w:rsid w:val="0012147D"/>
    <w:rsid w:val="00121860"/>
    <w:rsid w:val="00121E79"/>
    <w:rsid w:val="001225FA"/>
    <w:rsid w:val="00122DBB"/>
    <w:rsid w:val="00123258"/>
    <w:rsid w:val="0012352C"/>
    <w:rsid w:val="00123B0B"/>
    <w:rsid w:val="00124084"/>
    <w:rsid w:val="001243CC"/>
    <w:rsid w:val="00124425"/>
    <w:rsid w:val="00124524"/>
    <w:rsid w:val="00125E93"/>
    <w:rsid w:val="00125EC2"/>
    <w:rsid w:val="00126270"/>
    <w:rsid w:val="001265B1"/>
    <w:rsid w:val="00126C07"/>
    <w:rsid w:val="00127600"/>
    <w:rsid w:val="00127641"/>
    <w:rsid w:val="0012783A"/>
    <w:rsid w:val="001302C5"/>
    <w:rsid w:val="001306B8"/>
    <w:rsid w:val="001309F8"/>
    <w:rsid w:val="00130DD6"/>
    <w:rsid w:val="00131067"/>
    <w:rsid w:val="0013124F"/>
    <w:rsid w:val="0013145E"/>
    <w:rsid w:val="00131501"/>
    <w:rsid w:val="0013184B"/>
    <w:rsid w:val="001321C7"/>
    <w:rsid w:val="00132206"/>
    <w:rsid w:val="0013248B"/>
    <w:rsid w:val="0013272B"/>
    <w:rsid w:val="00133847"/>
    <w:rsid w:val="00133E9A"/>
    <w:rsid w:val="00134271"/>
    <w:rsid w:val="00134C0A"/>
    <w:rsid w:val="00134F62"/>
    <w:rsid w:val="00135051"/>
    <w:rsid w:val="001354F3"/>
    <w:rsid w:val="00135EEE"/>
    <w:rsid w:val="00136027"/>
    <w:rsid w:val="00136284"/>
    <w:rsid w:val="00136678"/>
    <w:rsid w:val="00137154"/>
    <w:rsid w:val="001372CD"/>
    <w:rsid w:val="00140455"/>
    <w:rsid w:val="0014060A"/>
    <w:rsid w:val="00141632"/>
    <w:rsid w:val="001419D5"/>
    <w:rsid w:val="00141F54"/>
    <w:rsid w:val="00142553"/>
    <w:rsid w:val="00142A2F"/>
    <w:rsid w:val="00142E20"/>
    <w:rsid w:val="001431AC"/>
    <w:rsid w:val="0014335C"/>
    <w:rsid w:val="00143BC4"/>
    <w:rsid w:val="00143FA9"/>
    <w:rsid w:val="00144653"/>
    <w:rsid w:val="0014475C"/>
    <w:rsid w:val="001447E1"/>
    <w:rsid w:val="00144E53"/>
    <w:rsid w:val="00145853"/>
    <w:rsid w:val="00145D8E"/>
    <w:rsid w:val="0014678A"/>
    <w:rsid w:val="00146F3E"/>
    <w:rsid w:val="001477F6"/>
    <w:rsid w:val="0014782A"/>
    <w:rsid w:val="00147A8F"/>
    <w:rsid w:val="00147FAE"/>
    <w:rsid w:val="00150AD8"/>
    <w:rsid w:val="00150E19"/>
    <w:rsid w:val="001513AD"/>
    <w:rsid w:val="001518F1"/>
    <w:rsid w:val="00151BDE"/>
    <w:rsid w:val="0015230D"/>
    <w:rsid w:val="00152628"/>
    <w:rsid w:val="00152907"/>
    <w:rsid w:val="00153EBF"/>
    <w:rsid w:val="001545DC"/>
    <w:rsid w:val="00154752"/>
    <w:rsid w:val="00154A80"/>
    <w:rsid w:val="00155846"/>
    <w:rsid w:val="001561F4"/>
    <w:rsid w:val="0015626A"/>
    <w:rsid w:val="00156392"/>
    <w:rsid w:val="00156EFC"/>
    <w:rsid w:val="001576E5"/>
    <w:rsid w:val="00157911"/>
    <w:rsid w:val="00157B7F"/>
    <w:rsid w:val="00160333"/>
    <w:rsid w:val="00160E93"/>
    <w:rsid w:val="001617B0"/>
    <w:rsid w:val="00161A9B"/>
    <w:rsid w:val="00161F3B"/>
    <w:rsid w:val="00161F42"/>
    <w:rsid w:val="001624D2"/>
    <w:rsid w:val="0016250B"/>
    <w:rsid w:val="00162592"/>
    <w:rsid w:val="00162730"/>
    <w:rsid w:val="001631CA"/>
    <w:rsid w:val="00163606"/>
    <w:rsid w:val="00163BA3"/>
    <w:rsid w:val="001641E2"/>
    <w:rsid w:val="001647AF"/>
    <w:rsid w:val="0016484E"/>
    <w:rsid w:val="00164DC2"/>
    <w:rsid w:val="001653D5"/>
    <w:rsid w:val="0016558C"/>
    <w:rsid w:val="001657CE"/>
    <w:rsid w:val="001661C4"/>
    <w:rsid w:val="0016737F"/>
    <w:rsid w:val="00167677"/>
    <w:rsid w:val="00167A71"/>
    <w:rsid w:val="00170A74"/>
    <w:rsid w:val="00170B72"/>
    <w:rsid w:val="00170BEB"/>
    <w:rsid w:val="0017133E"/>
    <w:rsid w:val="00171A67"/>
    <w:rsid w:val="00171AB2"/>
    <w:rsid w:val="00171DCF"/>
    <w:rsid w:val="00172934"/>
    <w:rsid w:val="00172EAE"/>
    <w:rsid w:val="001739DF"/>
    <w:rsid w:val="00173ADE"/>
    <w:rsid w:val="00174956"/>
    <w:rsid w:val="00175694"/>
    <w:rsid w:val="00175BBF"/>
    <w:rsid w:val="00176224"/>
    <w:rsid w:val="00177516"/>
    <w:rsid w:val="00177BBF"/>
    <w:rsid w:val="00177F45"/>
    <w:rsid w:val="001804CF"/>
    <w:rsid w:val="00180758"/>
    <w:rsid w:val="00180779"/>
    <w:rsid w:val="001808F6"/>
    <w:rsid w:val="00180930"/>
    <w:rsid w:val="00180DAD"/>
    <w:rsid w:val="00182370"/>
    <w:rsid w:val="00182663"/>
    <w:rsid w:val="00183305"/>
    <w:rsid w:val="00183524"/>
    <w:rsid w:val="00183637"/>
    <w:rsid w:val="00184002"/>
    <w:rsid w:val="001848B5"/>
    <w:rsid w:val="00184AFC"/>
    <w:rsid w:val="00184FD2"/>
    <w:rsid w:val="00185208"/>
    <w:rsid w:val="001861F4"/>
    <w:rsid w:val="001863C4"/>
    <w:rsid w:val="00186B77"/>
    <w:rsid w:val="00187343"/>
    <w:rsid w:val="001873D5"/>
    <w:rsid w:val="00187545"/>
    <w:rsid w:val="00187814"/>
    <w:rsid w:val="00187816"/>
    <w:rsid w:val="00187AB8"/>
    <w:rsid w:val="00187E32"/>
    <w:rsid w:val="00187F5F"/>
    <w:rsid w:val="00187FCF"/>
    <w:rsid w:val="00190009"/>
    <w:rsid w:val="00190188"/>
    <w:rsid w:val="001907E1"/>
    <w:rsid w:val="00190A33"/>
    <w:rsid w:val="00190AE7"/>
    <w:rsid w:val="00190F22"/>
    <w:rsid w:val="001917EC"/>
    <w:rsid w:val="00191879"/>
    <w:rsid w:val="00191BE2"/>
    <w:rsid w:val="00192EAC"/>
    <w:rsid w:val="00192EDD"/>
    <w:rsid w:val="00194BDF"/>
    <w:rsid w:val="0019658E"/>
    <w:rsid w:val="00196A41"/>
    <w:rsid w:val="00196C8D"/>
    <w:rsid w:val="00196F24"/>
    <w:rsid w:val="00196FE4"/>
    <w:rsid w:val="001973C5"/>
    <w:rsid w:val="00197BE8"/>
    <w:rsid w:val="00197E29"/>
    <w:rsid w:val="00197F55"/>
    <w:rsid w:val="001A0041"/>
    <w:rsid w:val="001A00EA"/>
    <w:rsid w:val="001A0648"/>
    <w:rsid w:val="001A0D78"/>
    <w:rsid w:val="001A0E5E"/>
    <w:rsid w:val="001A1325"/>
    <w:rsid w:val="001A2027"/>
    <w:rsid w:val="001A2397"/>
    <w:rsid w:val="001A253B"/>
    <w:rsid w:val="001A26CA"/>
    <w:rsid w:val="001A2C75"/>
    <w:rsid w:val="001A2E57"/>
    <w:rsid w:val="001A3945"/>
    <w:rsid w:val="001A4038"/>
    <w:rsid w:val="001A4761"/>
    <w:rsid w:val="001A4CB8"/>
    <w:rsid w:val="001A4D6B"/>
    <w:rsid w:val="001A5A02"/>
    <w:rsid w:val="001A5CC6"/>
    <w:rsid w:val="001A5E99"/>
    <w:rsid w:val="001A61A9"/>
    <w:rsid w:val="001A6D64"/>
    <w:rsid w:val="001A6DA3"/>
    <w:rsid w:val="001A77C8"/>
    <w:rsid w:val="001B03F5"/>
    <w:rsid w:val="001B08FA"/>
    <w:rsid w:val="001B0ED2"/>
    <w:rsid w:val="001B16FD"/>
    <w:rsid w:val="001B18C6"/>
    <w:rsid w:val="001B228D"/>
    <w:rsid w:val="001B24A5"/>
    <w:rsid w:val="001B26CE"/>
    <w:rsid w:val="001B407E"/>
    <w:rsid w:val="001B44DD"/>
    <w:rsid w:val="001B4713"/>
    <w:rsid w:val="001B497F"/>
    <w:rsid w:val="001B4DF2"/>
    <w:rsid w:val="001B509E"/>
    <w:rsid w:val="001B5DD8"/>
    <w:rsid w:val="001B642E"/>
    <w:rsid w:val="001B6A87"/>
    <w:rsid w:val="001B6FCB"/>
    <w:rsid w:val="001B7565"/>
    <w:rsid w:val="001B7BFB"/>
    <w:rsid w:val="001C06B8"/>
    <w:rsid w:val="001C0978"/>
    <w:rsid w:val="001C0C4E"/>
    <w:rsid w:val="001C0F32"/>
    <w:rsid w:val="001C0F80"/>
    <w:rsid w:val="001C160E"/>
    <w:rsid w:val="001C16B7"/>
    <w:rsid w:val="001C1B97"/>
    <w:rsid w:val="001C1BF4"/>
    <w:rsid w:val="001C210F"/>
    <w:rsid w:val="001C21CB"/>
    <w:rsid w:val="001C298E"/>
    <w:rsid w:val="001C3581"/>
    <w:rsid w:val="001C37F5"/>
    <w:rsid w:val="001C398B"/>
    <w:rsid w:val="001C3FA3"/>
    <w:rsid w:val="001C44CF"/>
    <w:rsid w:val="001C54F2"/>
    <w:rsid w:val="001C5567"/>
    <w:rsid w:val="001C5670"/>
    <w:rsid w:val="001C58FD"/>
    <w:rsid w:val="001C6CDB"/>
    <w:rsid w:val="001C73B9"/>
    <w:rsid w:val="001D0130"/>
    <w:rsid w:val="001D0384"/>
    <w:rsid w:val="001D0A14"/>
    <w:rsid w:val="001D0EA7"/>
    <w:rsid w:val="001D0F61"/>
    <w:rsid w:val="001D124F"/>
    <w:rsid w:val="001D1A51"/>
    <w:rsid w:val="001D1CB1"/>
    <w:rsid w:val="001D22D1"/>
    <w:rsid w:val="001D414C"/>
    <w:rsid w:val="001D447B"/>
    <w:rsid w:val="001D4580"/>
    <w:rsid w:val="001D4B0E"/>
    <w:rsid w:val="001D5028"/>
    <w:rsid w:val="001D50D2"/>
    <w:rsid w:val="001D590F"/>
    <w:rsid w:val="001D5FF4"/>
    <w:rsid w:val="001D624D"/>
    <w:rsid w:val="001D64A1"/>
    <w:rsid w:val="001D6EAE"/>
    <w:rsid w:val="001D7C0B"/>
    <w:rsid w:val="001E0028"/>
    <w:rsid w:val="001E004C"/>
    <w:rsid w:val="001E0116"/>
    <w:rsid w:val="001E04DB"/>
    <w:rsid w:val="001E074A"/>
    <w:rsid w:val="001E0D5D"/>
    <w:rsid w:val="001E11D1"/>
    <w:rsid w:val="001E12CE"/>
    <w:rsid w:val="001E1666"/>
    <w:rsid w:val="001E174E"/>
    <w:rsid w:val="001E18E9"/>
    <w:rsid w:val="001E1CE7"/>
    <w:rsid w:val="001E1ED7"/>
    <w:rsid w:val="001E2877"/>
    <w:rsid w:val="001E2CE0"/>
    <w:rsid w:val="001E2F64"/>
    <w:rsid w:val="001E3646"/>
    <w:rsid w:val="001E3EEF"/>
    <w:rsid w:val="001E5DDC"/>
    <w:rsid w:val="001E62BA"/>
    <w:rsid w:val="001E7F90"/>
    <w:rsid w:val="001F1692"/>
    <w:rsid w:val="001F1A5E"/>
    <w:rsid w:val="001F1F56"/>
    <w:rsid w:val="001F2171"/>
    <w:rsid w:val="001F21D8"/>
    <w:rsid w:val="001F2665"/>
    <w:rsid w:val="001F2E9F"/>
    <w:rsid w:val="001F3398"/>
    <w:rsid w:val="001F40D0"/>
    <w:rsid w:val="001F47F4"/>
    <w:rsid w:val="001F4A65"/>
    <w:rsid w:val="001F4A74"/>
    <w:rsid w:val="001F522F"/>
    <w:rsid w:val="001F56E1"/>
    <w:rsid w:val="001F5749"/>
    <w:rsid w:val="001F6BC7"/>
    <w:rsid w:val="001F6D98"/>
    <w:rsid w:val="001F71E3"/>
    <w:rsid w:val="001F762B"/>
    <w:rsid w:val="001F7755"/>
    <w:rsid w:val="00200585"/>
    <w:rsid w:val="0020061F"/>
    <w:rsid w:val="00201577"/>
    <w:rsid w:val="00201984"/>
    <w:rsid w:val="00201E6D"/>
    <w:rsid w:val="002020D5"/>
    <w:rsid w:val="002021AE"/>
    <w:rsid w:val="00202AA9"/>
    <w:rsid w:val="002035DE"/>
    <w:rsid w:val="00203828"/>
    <w:rsid w:val="00203988"/>
    <w:rsid w:val="00204087"/>
    <w:rsid w:val="00204221"/>
    <w:rsid w:val="00204B97"/>
    <w:rsid w:val="002055F8"/>
    <w:rsid w:val="00205974"/>
    <w:rsid w:val="00205C13"/>
    <w:rsid w:val="00206075"/>
    <w:rsid w:val="002064D7"/>
    <w:rsid w:val="00207254"/>
    <w:rsid w:val="00207A46"/>
    <w:rsid w:val="00207B5F"/>
    <w:rsid w:val="00210396"/>
    <w:rsid w:val="002103C8"/>
    <w:rsid w:val="00210DCA"/>
    <w:rsid w:val="00210E36"/>
    <w:rsid w:val="002115E0"/>
    <w:rsid w:val="0021177A"/>
    <w:rsid w:val="0021229F"/>
    <w:rsid w:val="002127A9"/>
    <w:rsid w:val="00212CFB"/>
    <w:rsid w:val="002132EA"/>
    <w:rsid w:val="002136B8"/>
    <w:rsid w:val="00213D48"/>
    <w:rsid w:val="00214E14"/>
    <w:rsid w:val="002152A9"/>
    <w:rsid w:val="00215475"/>
    <w:rsid w:val="00215499"/>
    <w:rsid w:val="00215B13"/>
    <w:rsid w:val="00215CBA"/>
    <w:rsid w:val="00216123"/>
    <w:rsid w:val="0021612F"/>
    <w:rsid w:val="002163D9"/>
    <w:rsid w:val="00216A74"/>
    <w:rsid w:val="002171C9"/>
    <w:rsid w:val="00217434"/>
    <w:rsid w:val="00217A0A"/>
    <w:rsid w:val="00217C7C"/>
    <w:rsid w:val="0022053B"/>
    <w:rsid w:val="002206CD"/>
    <w:rsid w:val="00220C2F"/>
    <w:rsid w:val="00221A58"/>
    <w:rsid w:val="00222519"/>
    <w:rsid w:val="002225D4"/>
    <w:rsid w:val="00222AA6"/>
    <w:rsid w:val="00222ED9"/>
    <w:rsid w:val="00223739"/>
    <w:rsid w:val="00223848"/>
    <w:rsid w:val="00223CDC"/>
    <w:rsid w:val="00224433"/>
    <w:rsid w:val="0022515E"/>
    <w:rsid w:val="002252E4"/>
    <w:rsid w:val="00225331"/>
    <w:rsid w:val="0022539B"/>
    <w:rsid w:val="00225507"/>
    <w:rsid w:val="0022551B"/>
    <w:rsid w:val="00225944"/>
    <w:rsid w:val="00225E8B"/>
    <w:rsid w:val="00225EB3"/>
    <w:rsid w:val="00225FD4"/>
    <w:rsid w:val="002268B5"/>
    <w:rsid w:val="00226BA8"/>
    <w:rsid w:val="00227517"/>
    <w:rsid w:val="002276DB"/>
    <w:rsid w:val="00227905"/>
    <w:rsid w:val="0022790F"/>
    <w:rsid w:val="00227B41"/>
    <w:rsid w:val="0023046C"/>
    <w:rsid w:val="0023068A"/>
    <w:rsid w:val="00230E53"/>
    <w:rsid w:val="00230E6B"/>
    <w:rsid w:val="002315DF"/>
    <w:rsid w:val="00231E46"/>
    <w:rsid w:val="00232466"/>
    <w:rsid w:val="0023258E"/>
    <w:rsid w:val="0023283F"/>
    <w:rsid w:val="002329AC"/>
    <w:rsid w:val="002329F8"/>
    <w:rsid w:val="00232B50"/>
    <w:rsid w:val="0023338A"/>
    <w:rsid w:val="00233660"/>
    <w:rsid w:val="00233775"/>
    <w:rsid w:val="00233A05"/>
    <w:rsid w:val="002343CD"/>
    <w:rsid w:val="00234402"/>
    <w:rsid w:val="002349AB"/>
    <w:rsid w:val="00234F19"/>
    <w:rsid w:val="00235728"/>
    <w:rsid w:val="0023632A"/>
    <w:rsid w:val="0023654F"/>
    <w:rsid w:val="00236AB7"/>
    <w:rsid w:val="00236BBD"/>
    <w:rsid w:val="00236E4D"/>
    <w:rsid w:val="00237735"/>
    <w:rsid w:val="00237DE5"/>
    <w:rsid w:val="00237F30"/>
    <w:rsid w:val="00240033"/>
    <w:rsid w:val="00240278"/>
    <w:rsid w:val="002403D3"/>
    <w:rsid w:val="002418D2"/>
    <w:rsid w:val="00241B13"/>
    <w:rsid w:val="00241F81"/>
    <w:rsid w:val="002420D1"/>
    <w:rsid w:val="0024296C"/>
    <w:rsid w:val="00242A80"/>
    <w:rsid w:val="00242DF0"/>
    <w:rsid w:val="002431FB"/>
    <w:rsid w:val="00243EF1"/>
    <w:rsid w:val="0024405D"/>
    <w:rsid w:val="0024415B"/>
    <w:rsid w:val="002445D7"/>
    <w:rsid w:val="0024475D"/>
    <w:rsid w:val="00244933"/>
    <w:rsid w:val="00244BB9"/>
    <w:rsid w:val="00244E76"/>
    <w:rsid w:val="00244FA4"/>
    <w:rsid w:val="00244FF0"/>
    <w:rsid w:val="00245206"/>
    <w:rsid w:val="0024562B"/>
    <w:rsid w:val="00245AC0"/>
    <w:rsid w:val="00245F01"/>
    <w:rsid w:val="00246BCC"/>
    <w:rsid w:val="00247583"/>
    <w:rsid w:val="002475A8"/>
    <w:rsid w:val="00247E69"/>
    <w:rsid w:val="0025117E"/>
    <w:rsid w:val="0025173E"/>
    <w:rsid w:val="00251D3D"/>
    <w:rsid w:val="00252097"/>
    <w:rsid w:val="002524D5"/>
    <w:rsid w:val="00253722"/>
    <w:rsid w:val="00253880"/>
    <w:rsid w:val="00253A83"/>
    <w:rsid w:val="00253EED"/>
    <w:rsid w:val="00254667"/>
    <w:rsid w:val="00255AF3"/>
    <w:rsid w:val="002564CD"/>
    <w:rsid w:val="0025693A"/>
    <w:rsid w:val="00256B83"/>
    <w:rsid w:val="00256B92"/>
    <w:rsid w:val="00256BFE"/>
    <w:rsid w:val="00256C02"/>
    <w:rsid w:val="00256D53"/>
    <w:rsid w:val="00260746"/>
    <w:rsid w:val="00260CA9"/>
    <w:rsid w:val="00260DCD"/>
    <w:rsid w:val="0026121D"/>
    <w:rsid w:val="002612F8"/>
    <w:rsid w:val="00261548"/>
    <w:rsid w:val="00261BDD"/>
    <w:rsid w:val="00262186"/>
    <w:rsid w:val="00262783"/>
    <w:rsid w:val="002627AC"/>
    <w:rsid w:val="002627D5"/>
    <w:rsid w:val="00262852"/>
    <w:rsid w:val="0026288D"/>
    <w:rsid w:val="0026289B"/>
    <w:rsid w:val="00263118"/>
    <w:rsid w:val="002631D1"/>
    <w:rsid w:val="00263C96"/>
    <w:rsid w:val="00263D99"/>
    <w:rsid w:val="00264154"/>
    <w:rsid w:val="00264536"/>
    <w:rsid w:val="002647B9"/>
    <w:rsid w:val="00264B57"/>
    <w:rsid w:val="002650F6"/>
    <w:rsid w:val="002657D2"/>
    <w:rsid w:val="00265909"/>
    <w:rsid w:val="00265BCB"/>
    <w:rsid w:val="00265EFD"/>
    <w:rsid w:val="002664CC"/>
    <w:rsid w:val="002667EB"/>
    <w:rsid w:val="00266836"/>
    <w:rsid w:val="0026695D"/>
    <w:rsid w:val="002669B9"/>
    <w:rsid w:val="00266BA7"/>
    <w:rsid w:val="002671C2"/>
    <w:rsid w:val="0026730A"/>
    <w:rsid w:val="00267BD5"/>
    <w:rsid w:val="002701B4"/>
    <w:rsid w:val="002705AF"/>
    <w:rsid w:val="00270F45"/>
    <w:rsid w:val="0027121C"/>
    <w:rsid w:val="00271297"/>
    <w:rsid w:val="00271F0D"/>
    <w:rsid w:val="00271F47"/>
    <w:rsid w:val="00272570"/>
    <w:rsid w:val="002728D1"/>
    <w:rsid w:val="00272F2A"/>
    <w:rsid w:val="002733ED"/>
    <w:rsid w:val="00273538"/>
    <w:rsid w:val="00273FCD"/>
    <w:rsid w:val="002740BC"/>
    <w:rsid w:val="0027531A"/>
    <w:rsid w:val="002755AC"/>
    <w:rsid w:val="002758AE"/>
    <w:rsid w:val="00275D96"/>
    <w:rsid w:val="002761A9"/>
    <w:rsid w:val="0027654B"/>
    <w:rsid w:val="002766A4"/>
    <w:rsid w:val="002777DE"/>
    <w:rsid w:val="00277C9C"/>
    <w:rsid w:val="00277F36"/>
    <w:rsid w:val="002804B1"/>
    <w:rsid w:val="00280B12"/>
    <w:rsid w:val="00280B9C"/>
    <w:rsid w:val="002816DB"/>
    <w:rsid w:val="00281D90"/>
    <w:rsid w:val="00282340"/>
    <w:rsid w:val="00282A22"/>
    <w:rsid w:val="00282A7A"/>
    <w:rsid w:val="00283429"/>
    <w:rsid w:val="00283D4C"/>
    <w:rsid w:val="002841B1"/>
    <w:rsid w:val="00284BCC"/>
    <w:rsid w:val="00284C20"/>
    <w:rsid w:val="00284C78"/>
    <w:rsid w:val="00285C33"/>
    <w:rsid w:val="00286848"/>
    <w:rsid w:val="002871FB"/>
    <w:rsid w:val="002875CE"/>
    <w:rsid w:val="00287606"/>
    <w:rsid w:val="002878A2"/>
    <w:rsid w:val="00287DB2"/>
    <w:rsid w:val="00291802"/>
    <w:rsid w:val="00291C0A"/>
    <w:rsid w:val="00292396"/>
    <w:rsid w:val="00292CF8"/>
    <w:rsid w:val="00293413"/>
    <w:rsid w:val="0029383B"/>
    <w:rsid w:val="00294132"/>
    <w:rsid w:val="00294300"/>
    <w:rsid w:val="00294411"/>
    <w:rsid w:val="00295899"/>
    <w:rsid w:val="00295904"/>
    <w:rsid w:val="00296CC8"/>
    <w:rsid w:val="00296CEC"/>
    <w:rsid w:val="0029711A"/>
    <w:rsid w:val="002973BC"/>
    <w:rsid w:val="00297454"/>
    <w:rsid w:val="002979F0"/>
    <w:rsid w:val="00297F81"/>
    <w:rsid w:val="002A0987"/>
    <w:rsid w:val="002A0A1C"/>
    <w:rsid w:val="002A0B80"/>
    <w:rsid w:val="002A0FDC"/>
    <w:rsid w:val="002A13BC"/>
    <w:rsid w:val="002A16EF"/>
    <w:rsid w:val="002A1A3E"/>
    <w:rsid w:val="002A2267"/>
    <w:rsid w:val="002A24D5"/>
    <w:rsid w:val="002A362D"/>
    <w:rsid w:val="002A39E1"/>
    <w:rsid w:val="002A3B70"/>
    <w:rsid w:val="002A42F2"/>
    <w:rsid w:val="002A457D"/>
    <w:rsid w:val="002A462F"/>
    <w:rsid w:val="002A4847"/>
    <w:rsid w:val="002A4BA1"/>
    <w:rsid w:val="002A4DA8"/>
    <w:rsid w:val="002A4E54"/>
    <w:rsid w:val="002A51E1"/>
    <w:rsid w:val="002A545F"/>
    <w:rsid w:val="002A58B2"/>
    <w:rsid w:val="002A59D2"/>
    <w:rsid w:val="002A5BF3"/>
    <w:rsid w:val="002A5C53"/>
    <w:rsid w:val="002A676C"/>
    <w:rsid w:val="002A6AE7"/>
    <w:rsid w:val="002A745C"/>
    <w:rsid w:val="002A7ACD"/>
    <w:rsid w:val="002B0107"/>
    <w:rsid w:val="002B012F"/>
    <w:rsid w:val="002B052E"/>
    <w:rsid w:val="002B0B8F"/>
    <w:rsid w:val="002B0C2B"/>
    <w:rsid w:val="002B0D0E"/>
    <w:rsid w:val="002B10A5"/>
    <w:rsid w:val="002B1430"/>
    <w:rsid w:val="002B2CAB"/>
    <w:rsid w:val="002B2DB8"/>
    <w:rsid w:val="002B2F1F"/>
    <w:rsid w:val="002B359C"/>
    <w:rsid w:val="002B378F"/>
    <w:rsid w:val="002B39FD"/>
    <w:rsid w:val="002B43D1"/>
    <w:rsid w:val="002B4C50"/>
    <w:rsid w:val="002B54BC"/>
    <w:rsid w:val="002B54E4"/>
    <w:rsid w:val="002B6D7E"/>
    <w:rsid w:val="002B74DB"/>
    <w:rsid w:val="002B7879"/>
    <w:rsid w:val="002B79E2"/>
    <w:rsid w:val="002B7DCB"/>
    <w:rsid w:val="002C0174"/>
    <w:rsid w:val="002C02C2"/>
    <w:rsid w:val="002C0532"/>
    <w:rsid w:val="002C0E15"/>
    <w:rsid w:val="002C1C82"/>
    <w:rsid w:val="002C28AE"/>
    <w:rsid w:val="002C2ABB"/>
    <w:rsid w:val="002C2C2B"/>
    <w:rsid w:val="002C309B"/>
    <w:rsid w:val="002C31DC"/>
    <w:rsid w:val="002C3734"/>
    <w:rsid w:val="002C3B00"/>
    <w:rsid w:val="002C426A"/>
    <w:rsid w:val="002C54A0"/>
    <w:rsid w:val="002C5DE1"/>
    <w:rsid w:val="002C5EE0"/>
    <w:rsid w:val="002C6E41"/>
    <w:rsid w:val="002C6FCA"/>
    <w:rsid w:val="002C7999"/>
    <w:rsid w:val="002D129F"/>
    <w:rsid w:val="002D1608"/>
    <w:rsid w:val="002D1CEA"/>
    <w:rsid w:val="002D1FCD"/>
    <w:rsid w:val="002D1FD8"/>
    <w:rsid w:val="002D2327"/>
    <w:rsid w:val="002D296D"/>
    <w:rsid w:val="002D2F4A"/>
    <w:rsid w:val="002D4854"/>
    <w:rsid w:val="002D4DBB"/>
    <w:rsid w:val="002D50E7"/>
    <w:rsid w:val="002D512A"/>
    <w:rsid w:val="002D55E8"/>
    <w:rsid w:val="002D59B8"/>
    <w:rsid w:val="002D5D98"/>
    <w:rsid w:val="002D6180"/>
    <w:rsid w:val="002D693B"/>
    <w:rsid w:val="002D6E62"/>
    <w:rsid w:val="002D790F"/>
    <w:rsid w:val="002D7FE7"/>
    <w:rsid w:val="002E0236"/>
    <w:rsid w:val="002E0C94"/>
    <w:rsid w:val="002E0D49"/>
    <w:rsid w:val="002E1317"/>
    <w:rsid w:val="002E1B95"/>
    <w:rsid w:val="002E1E06"/>
    <w:rsid w:val="002E2064"/>
    <w:rsid w:val="002E2B4A"/>
    <w:rsid w:val="002E2DD0"/>
    <w:rsid w:val="002E47BD"/>
    <w:rsid w:val="002E5007"/>
    <w:rsid w:val="002E53E3"/>
    <w:rsid w:val="002E5DB3"/>
    <w:rsid w:val="002E66A0"/>
    <w:rsid w:val="002E6731"/>
    <w:rsid w:val="002E6AEE"/>
    <w:rsid w:val="002E6CD7"/>
    <w:rsid w:val="002E7940"/>
    <w:rsid w:val="002E7984"/>
    <w:rsid w:val="002E79AF"/>
    <w:rsid w:val="002E79D7"/>
    <w:rsid w:val="002E7E4E"/>
    <w:rsid w:val="002F058C"/>
    <w:rsid w:val="002F06C8"/>
    <w:rsid w:val="002F06F4"/>
    <w:rsid w:val="002F0840"/>
    <w:rsid w:val="002F0A93"/>
    <w:rsid w:val="002F13C9"/>
    <w:rsid w:val="002F1778"/>
    <w:rsid w:val="002F3952"/>
    <w:rsid w:val="002F3BC1"/>
    <w:rsid w:val="002F3FE8"/>
    <w:rsid w:val="002F4E12"/>
    <w:rsid w:val="002F55B4"/>
    <w:rsid w:val="002F571C"/>
    <w:rsid w:val="002F63F4"/>
    <w:rsid w:val="002F64AC"/>
    <w:rsid w:val="002F6AF7"/>
    <w:rsid w:val="002F6BFB"/>
    <w:rsid w:val="002F6D2D"/>
    <w:rsid w:val="002F7138"/>
    <w:rsid w:val="002F724F"/>
    <w:rsid w:val="002F76D8"/>
    <w:rsid w:val="002F7C9B"/>
    <w:rsid w:val="003001C8"/>
    <w:rsid w:val="003004AF"/>
    <w:rsid w:val="00300625"/>
    <w:rsid w:val="00300E0B"/>
    <w:rsid w:val="00301AC8"/>
    <w:rsid w:val="00301E83"/>
    <w:rsid w:val="00302104"/>
    <w:rsid w:val="00302220"/>
    <w:rsid w:val="00302275"/>
    <w:rsid w:val="00302E24"/>
    <w:rsid w:val="003030EA"/>
    <w:rsid w:val="003037F1"/>
    <w:rsid w:val="00303929"/>
    <w:rsid w:val="00303FFF"/>
    <w:rsid w:val="0030436A"/>
    <w:rsid w:val="003043EC"/>
    <w:rsid w:val="00304E2D"/>
    <w:rsid w:val="00304ECC"/>
    <w:rsid w:val="003056FB"/>
    <w:rsid w:val="00305774"/>
    <w:rsid w:val="00305C82"/>
    <w:rsid w:val="00305D57"/>
    <w:rsid w:val="0030614A"/>
    <w:rsid w:val="00306AC9"/>
    <w:rsid w:val="003074DB"/>
    <w:rsid w:val="003077E9"/>
    <w:rsid w:val="00307FDF"/>
    <w:rsid w:val="003109EE"/>
    <w:rsid w:val="00310A43"/>
    <w:rsid w:val="00310A51"/>
    <w:rsid w:val="00310B8F"/>
    <w:rsid w:val="00310F63"/>
    <w:rsid w:val="00311458"/>
    <w:rsid w:val="00311B8E"/>
    <w:rsid w:val="00311F3E"/>
    <w:rsid w:val="00312459"/>
    <w:rsid w:val="0031381A"/>
    <w:rsid w:val="003138F5"/>
    <w:rsid w:val="00313A12"/>
    <w:rsid w:val="00313E0D"/>
    <w:rsid w:val="00313F81"/>
    <w:rsid w:val="00314346"/>
    <w:rsid w:val="0031468C"/>
    <w:rsid w:val="00314B50"/>
    <w:rsid w:val="00314D93"/>
    <w:rsid w:val="00314FD8"/>
    <w:rsid w:val="00316305"/>
    <w:rsid w:val="003163A4"/>
    <w:rsid w:val="0031743F"/>
    <w:rsid w:val="00317C98"/>
    <w:rsid w:val="00317D33"/>
    <w:rsid w:val="00320801"/>
    <w:rsid w:val="00320BD4"/>
    <w:rsid w:val="00320CEC"/>
    <w:rsid w:val="003212A2"/>
    <w:rsid w:val="00321B02"/>
    <w:rsid w:val="003220A0"/>
    <w:rsid w:val="0032276B"/>
    <w:rsid w:val="0032279D"/>
    <w:rsid w:val="00322820"/>
    <w:rsid w:val="00322963"/>
    <w:rsid w:val="00322990"/>
    <w:rsid w:val="00324544"/>
    <w:rsid w:val="00324607"/>
    <w:rsid w:val="003246F4"/>
    <w:rsid w:val="00325062"/>
    <w:rsid w:val="003250D4"/>
    <w:rsid w:val="003251FE"/>
    <w:rsid w:val="00325464"/>
    <w:rsid w:val="003259ED"/>
    <w:rsid w:val="00325BFE"/>
    <w:rsid w:val="00325E1A"/>
    <w:rsid w:val="00326648"/>
    <w:rsid w:val="00326BC1"/>
    <w:rsid w:val="00326E43"/>
    <w:rsid w:val="003309C8"/>
    <w:rsid w:val="00330A36"/>
    <w:rsid w:val="00330BE7"/>
    <w:rsid w:val="00330CA1"/>
    <w:rsid w:val="003312E5"/>
    <w:rsid w:val="00331D7A"/>
    <w:rsid w:val="00331D7C"/>
    <w:rsid w:val="003323B8"/>
    <w:rsid w:val="00332800"/>
    <w:rsid w:val="00332898"/>
    <w:rsid w:val="00332988"/>
    <w:rsid w:val="00332F3F"/>
    <w:rsid w:val="003340B1"/>
    <w:rsid w:val="00334265"/>
    <w:rsid w:val="003344D6"/>
    <w:rsid w:val="003345BF"/>
    <w:rsid w:val="00334769"/>
    <w:rsid w:val="00334D17"/>
    <w:rsid w:val="00334DE2"/>
    <w:rsid w:val="00334FE7"/>
    <w:rsid w:val="00335D8D"/>
    <w:rsid w:val="0033676D"/>
    <w:rsid w:val="00336B20"/>
    <w:rsid w:val="00336F97"/>
    <w:rsid w:val="00337A51"/>
    <w:rsid w:val="00341319"/>
    <w:rsid w:val="0034162D"/>
    <w:rsid w:val="00341928"/>
    <w:rsid w:val="003419B8"/>
    <w:rsid w:val="003419BE"/>
    <w:rsid w:val="0034216E"/>
    <w:rsid w:val="0034220F"/>
    <w:rsid w:val="0034241E"/>
    <w:rsid w:val="00342828"/>
    <w:rsid w:val="00343D3F"/>
    <w:rsid w:val="00344B67"/>
    <w:rsid w:val="00345449"/>
    <w:rsid w:val="00345D8B"/>
    <w:rsid w:val="003471DB"/>
    <w:rsid w:val="0034737D"/>
    <w:rsid w:val="00347405"/>
    <w:rsid w:val="00347834"/>
    <w:rsid w:val="00350AA9"/>
    <w:rsid w:val="00350E6A"/>
    <w:rsid w:val="003515FC"/>
    <w:rsid w:val="003516FA"/>
    <w:rsid w:val="0035195D"/>
    <w:rsid w:val="003519CB"/>
    <w:rsid w:val="00351E2C"/>
    <w:rsid w:val="0035230D"/>
    <w:rsid w:val="003533ED"/>
    <w:rsid w:val="0035347F"/>
    <w:rsid w:val="00354160"/>
    <w:rsid w:val="0035475F"/>
    <w:rsid w:val="00354B9C"/>
    <w:rsid w:val="00354D63"/>
    <w:rsid w:val="00355BA9"/>
    <w:rsid w:val="0035601A"/>
    <w:rsid w:val="003570A2"/>
    <w:rsid w:val="003573FE"/>
    <w:rsid w:val="00357600"/>
    <w:rsid w:val="00357FAF"/>
    <w:rsid w:val="00357FF6"/>
    <w:rsid w:val="003602B0"/>
    <w:rsid w:val="0036034E"/>
    <w:rsid w:val="0036036C"/>
    <w:rsid w:val="00360553"/>
    <w:rsid w:val="0036085C"/>
    <w:rsid w:val="00360A2B"/>
    <w:rsid w:val="00360CD2"/>
    <w:rsid w:val="00360FA1"/>
    <w:rsid w:val="00362665"/>
    <w:rsid w:val="00362B01"/>
    <w:rsid w:val="00362B1E"/>
    <w:rsid w:val="00362B20"/>
    <w:rsid w:val="0036300D"/>
    <w:rsid w:val="003632D0"/>
    <w:rsid w:val="00363CCE"/>
    <w:rsid w:val="00363CD4"/>
    <w:rsid w:val="00363DE2"/>
    <w:rsid w:val="00364495"/>
    <w:rsid w:val="00364E02"/>
    <w:rsid w:val="003651C4"/>
    <w:rsid w:val="003654D0"/>
    <w:rsid w:val="0036571C"/>
    <w:rsid w:val="00365BA9"/>
    <w:rsid w:val="00365BD1"/>
    <w:rsid w:val="00365F4E"/>
    <w:rsid w:val="00366A6B"/>
    <w:rsid w:val="00366D24"/>
    <w:rsid w:val="0036749F"/>
    <w:rsid w:val="003676AB"/>
    <w:rsid w:val="00367F61"/>
    <w:rsid w:val="00370C2C"/>
    <w:rsid w:val="00370CD4"/>
    <w:rsid w:val="00370D7E"/>
    <w:rsid w:val="00370F0A"/>
    <w:rsid w:val="00371D96"/>
    <w:rsid w:val="00371F76"/>
    <w:rsid w:val="00372310"/>
    <w:rsid w:val="00372357"/>
    <w:rsid w:val="00372965"/>
    <w:rsid w:val="00372CF8"/>
    <w:rsid w:val="003731F8"/>
    <w:rsid w:val="00373AB6"/>
    <w:rsid w:val="00373D1E"/>
    <w:rsid w:val="00373F7F"/>
    <w:rsid w:val="003740D4"/>
    <w:rsid w:val="00374BFC"/>
    <w:rsid w:val="00374EDC"/>
    <w:rsid w:val="00376175"/>
    <w:rsid w:val="00376BB8"/>
    <w:rsid w:val="00377035"/>
    <w:rsid w:val="003770F0"/>
    <w:rsid w:val="003774F5"/>
    <w:rsid w:val="00377A0F"/>
    <w:rsid w:val="00377A7F"/>
    <w:rsid w:val="00377D89"/>
    <w:rsid w:val="00377DF1"/>
    <w:rsid w:val="00380691"/>
    <w:rsid w:val="00380ADF"/>
    <w:rsid w:val="00380B3E"/>
    <w:rsid w:val="003815B4"/>
    <w:rsid w:val="00381911"/>
    <w:rsid w:val="00382126"/>
    <w:rsid w:val="0038269C"/>
    <w:rsid w:val="00383905"/>
    <w:rsid w:val="003841C8"/>
    <w:rsid w:val="003841CB"/>
    <w:rsid w:val="00384BC2"/>
    <w:rsid w:val="00384BED"/>
    <w:rsid w:val="003854DF"/>
    <w:rsid w:val="003854F0"/>
    <w:rsid w:val="00385B15"/>
    <w:rsid w:val="00385C9A"/>
    <w:rsid w:val="00386F6C"/>
    <w:rsid w:val="00386FC4"/>
    <w:rsid w:val="00387071"/>
    <w:rsid w:val="00387B3F"/>
    <w:rsid w:val="00391F84"/>
    <w:rsid w:val="003925AA"/>
    <w:rsid w:val="00392BC5"/>
    <w:rsid w:val="00392C08"/>
    <w:rsid w:val="00392C58"/>
    <w:rsid w:val="00392CCD"/>
    <w:rsid w:val="00392E99"/>
    <w:rsid w:val="003932DE"/>
    <w:rsid w:val="00394275"/>
    <w:rsid w:val="0039492E"/>
    <w:rsid w:val="00394D29"/>
    <w:rsid w:val="00394DF3"/>
    <w:rsid w:val="00395188"/>
    <w:rsid w:val="003962E0"/>
    <w:rsid w:val="0039684D"/>
    <w:rsid w:val="003A171C"/>
    <w:rsid w:val="003A1B77"/>
    <w:rsid w:val="003A1C60"/>
    <w:rsid w:val="003A2874"/>
    <w:rsid w:val="003A2AE7"/>
    <w:rsid w:val="003A2FCC"/>
    <w:rsid w:val="003A3021"/>
    <w:rsid w:val="003A33E0"/>
    <w:rsid w:val="003A35BF"/>
    <w:rsid w:val="003A3878"/>
    <w:rsid w:val="003A3C95"/>
    <w:rsid w:val="003A4F33"/>
    <w:rsid w:val="003A53B7"/>
    <w:rsid w:val="003A567A"/>
    <w:rsid w:val="003A5A96"/>
    <w:rsid w:val="003A5DB2"/>
    <w:rsid w:val="003A65F8"/>
    <w:rsid w:val="003A7DFF"/>
    <w:rsid w:val="003B0146"/>
    <w:rsid w:val="003B029D"/>
    <w:rsid w:val="003B05D2"/>
    <w:rsid w:val="003B0C6B"/>
    <w:rsid w:val="003B0F89"/>
    <w:rsid w:val="003B2039"/>
    <w:rsid w:val="003B2B31"/>
    <w:rsid w:val="003B2EAC"/>
    <w:rsid w:val="003B2FE7"/>
    <w:rsid w:val="003B35CD"/>
    <w:rsid w:val="003B35D6"/>
    <w:rsid w:val="003B3A68"/>
    <w:rsid w:val="003B3B4F"/>
    <w:rsid w:val="003B3EA4"/>
    <w:rsid w:val="003B496B"/>
    <w:rsid w:val="003B4AB9"/>
    <w:rsid w:val="003B4B4F"/>
    <w:rsid w:val="003B4D45"/>
    <w:rsid w:val="003B4FBC"/>
    <w:rsid w:val="003B5358"/>
    <w:rsid w:val="003B5DA9"/>
    <w:rsid w:val="003B6A7E"/>
    <w:rsid w:val="003B6FBD"/>
    <w:rsid w:val="003B7107"/>
    <w:rsid w:val="003B711D"/>
    <w:rsid w:val="003B7148"/>
    <w:rsid w:val="003B738A"/>
    <w:rsid w:val="003B77C7"/>
    <w:rsid w:val="003B79DF"/>
    <w:rsid w:val="003C0074"/>
    <w:rsid w:val="003C05FB"/>
    <w:rsid w:val="003C07EC"/>
    <w:rsid w:val="003C1B4B"/>
    <w:rsid w:val="003C2594"/>
    <w:rsid w:val="003C283E"/>
    <w:rsid w:val="003C2868"/>
    <w:rsid w:val="003C2E42"/>
    <w:rsid w:val="003C32E5"/>
    <w:rsid w:val="003C38DC"/>
    <w:rsid w:val="003C3A61"/>
    <w:rsid w:val="003C3FDE"/>
    <w:rsid w:val="003C44A5"/>
    <w:rsid w:val="003C466A"/>
    <w:rsid w:val="003C5448"/>
    <w:rsid w:val="003C54AD"/>
    <w:rsid w:val="003C54F7"/>
    <w:rsid w:val="003C59A8"/>
    <w:rsid w:val="003C63EF"/>
    <w:rsid w:val="003C71F7"/>
    <w:rsid w:val="003C738C"/>
    <w:rsid w:val="003C7CB1"/>
    <w:rsid w:val="003C7FF4"/>
    <w:rsid w:val="003D049E"/>
    <w:rsid w:val="003D0652"/>
    <w:rsid w:val="003D1721"/>
    <w:rsid w:val="003D1770"/>
    <w:rsid w:val="003D1DAB"/>
    <w:rsid w:val="003D2147"/>
    <w:rsid w:val="003D2170"/>
    <w:rsid w:val="003D2A37"/>
    <w:rsid w:val="003D2C91"/>
    <w:rsid w:val="003D3754"/>
    <w:rsid w:val="003D38D6"/>
    <w:rsid w:val="003D393C"/>
    <w:rsid w:val="003D3F65"/>
    <w:rsid w:val="003D486D"/>
    <w:rsid w:val="003D4F7E"/>
    <w:rsid w:val="003D5485"/>
    <w:rsid w:val="003D54A2"/>
    <w:rsid w:val="003D65E9"/>
    <w:rsid w:val="003D66C2"/>
    <w:rsid w:val="003D7D22"/>
    <w:rsid w:val="003E0833"/>
    <w:rsid w:val="003E0D22"/>
    <w:rsid w:val="003E11C0"/>
    <w:rsid w:val="003E17E3"/>
    <w:rsid w:val="003E1A9B"/>
    <w:rsid w:val="003E260E"/>
    <w:rsid w:val="003E2674"/>
    <w:rsid w:val="003E2B57"/>
    <w:rsid w:val="003E2F57"/>
    <w:rsid w:val="003E32E2"/>
    <w:rsid w:val="003E343F"/>
    <w:rsid w:val="003E3837"/>
    <w:rsid w:val="003E38CC"/>
    <w:rsid w:val="003E436B"/>
    <w:rsid w:val="003E43EA"/>
    <w:rsid w:val="003E4949"/>
    <w:rsid w:val="003E4AA6"/>
    <w:rsid w:val="003E554B"/>
    <w:rsid w:val="003E56D9"/>
    <w:rsid w:val="003E56E2"/>
    <w:rsid w:val="003E5A3E"/>
    <w:rsid w:val="003E62E1"/>
    <w:rsid w:val="003E6637"/>
    <w:rsid w:val="003E6DDB"/>
    <w:rsid w:val="003E6E49"/>
    <w:rsid w:val="003E722C"/>
    <w:rsid w:val="003E7346"/>
    <w:rsid w:val="003E77F7"/>
    <w:rsid w:val="003E7C36"/>
    <w:rsid w:val="003E7E1D"/>
    <w:rsid w:val="003F0332"/>
    <w:rsid w:val="003F044D"/>
    <w:rsid w:val="003F04A4"/>
    <w:rsid w:val="003F0E5A"/>
    <w:rsid w:val="003F1069"/>
    <w:rsid w:val="003F28FF"/>
    <w:rsid w:val="003F2967"/>
    <w:rsid w:val="003F2F9A"/>
    <w:rsid w:val="003F37C7"/>
    <w:rsid w:val="003F427A"/>
    <w:rsid w:val="003F4738"/>
    <w:rsid w:val="003F4B7C"/>
    <w:rsid w:val="003F4D91"/>
    <w:rsid w:val="003F5231"/>
    <w:rsid w:val="003F5736"/>
    <w:rsid w:val="003F5CF1"/>
    <w:rsid w:val="003F622F"/>
    <w:rsid w:val="003F6956"/>
    <w:rsid w:val="003F6A5D"/>
    <w:rsid w:val="003F6B9B"/>
    <w:rsid w:val="003F6CF1"/>
    <w:rsid w:val="003F6F64"/>
    <w:rsid w:val="003F76CA"/>
    <w:rsid w:val="003F7EB6"/>
    <w:rsid w:val="004009B0"/>
    <w:rsid w:val="00400A06"/>
    <w:rsid w:val="00400DF8"/>
    <w:rsid w:val="00401FEB"/>
    <w:rsid w:val="00402A79"/>
    <w:rsid w:val="00402BF2"/>
    <w:rsid w:val="00404A38"/>
    <w:rsid w:val="00404A7A"/>
    <w:rsid w:val="00404E36"/>
    <w:rsid w:val="00405055"/>
    <w:rsid w:val="0040552D"/>
    <w:rsid w:val="00405620"/>
    <w:rsid w:val="00405EDE"/>
    <w:rsid w:val="00406033"/>
    <w:rsid w:val="00406103"/>
    <w:rsid w:val="004068EF"/>
    <w:rsid w:val="00406A76"/>
    <w:rsid w:val="00406ECD"/>
    <w:rsid w:val="00407296"/>
    <w:rsid w:val="00407816"/>
    <w:rsid w:val="004079F1"/>
    <w:rsid w:val="00407E5B"/>
    <w:rsid w:val="004100B5"/>
    <w:rsid w:val="004101FC"/>
    <w:rsid w:val="00410242"/>
    <w:rsid w:val="00410337"/>
    <w:rsid w:val="0041051C"/>
    <w:rsid w:val="00410950"/>
    <w:rsid w:val="00410A38"/>
    <w:rsid w:val="00410D9A"/>
    <w:rsid w:val="00410FE5"/>
    <w:rsid w:val="004114FE"/>
    <w:rsid w:val="00411ED4"/>
    <w:rsid w:val="00412CDB"/>
    <w:rsid w:val="00412D38"/>
    <w:rsid w:val="00412D4A"/>
    <w:rsid w:val="0041380C"/>
    <w:rsid w:val="00413915"/>
    <w:rsid w:val="004139A2"/>
    <w:rsid w:val="00413AAE"/>
    <w:rsid w:val="00413BC6"/>
    <w:rsid w:val="00414500"/>
    <w:rsid w:val="004152D6"/>
    <w:rsid w:val="004164B4"/>
    <w:rsid w:val="00416DED"/>
    <w:rsid w:val="004170D0"/>
    <w:rsid w:val="00417880"/>
    <w:rsid w:val="00417CD8"/>
    <w:rsid w:val="00420450"/>
    <w:rsid w:val="004207F3"/>
    <w:rsid w:val="00420978"/>
    <w:rsid w:val="00421327"/>
    <w:rsid w:val="00421644"/>
    <w:rsid w:val="00421D6A"/>
    <w:rsid w:val="004228A1"/>
    <w:rsid w:val="00422D2F"/>
    <w:rsid w:val="0042387B"/>
    <w:rsid w:val="004239AA"/>
    <w:rsid w:val="00423AD8"/>
    <w:rsid w:val="0042507B"/>
    <w:rsid w:val="00425AE0"/>
    <w:rsid w:val="004261D7"/>
    <w:rsid w:val="004267B2"/>
    <w:rsid w:val="004267BF"/>
    <w:rsid w:val="004273F2"/>
    <w:rsid w:val="004274CA"/>
    <w:rsid w:val="004278D8"/>
    <w:rsid w:val="00427CA3"/>
    <w:rsid w:val="00430924"/>
    <w:rsid w:val="00430A77"/>
    <w:rsid w:val="004315F7"/>
    <w:rsid w:val="00431C38"/>
    <w:rsid w:val="00431D69"/>
    <w:rsid w:val="00431F42"/>
    <w:rsid w:val="0043240B"/>
    <w:rsid w:val="0043297E"/>
    <w:rsid w:val="00432FDF"/>
    <w:rsid w:val="0043370E"/>
    <w:rsid w:val="00433B02"/>
    <w:rsid w:val="00434111"/>
    <w:rsid w:val="00434634"/>
    <w:rsid w:val="00434EE7"/>
    <w:rsid w:val="00434F9F"/>
    <w:rsid w:val="004353BE"/>
    <w:rsid w:val="0043550B"/>
    <w:rsid w:val="00435F0C"/>
    <w:rsid w:val="00436078"/>
    <w:rsid w:val="0043627D"/>
    <w:rsid w:val="00436CFC"/>
    <w:rsid w:val="00437653"/>
    <w:rsid w:val="00437760"/>
    <w:rsid w:val="00437778"/>
    <w:rsid w:val="004379AA"/>
    <w:rsid w:val="0044053E"/>
    <w:rsid w:val="0044080D"/>
    <w:rsid w:val="00440AE5"/>
    <w:rsid w:val="00440D15"/>
    <w:rsid w:val="004414BF"/>
    <w:rsid w:val="004419CE"/>
    <w:rsid w:val="004424DE"/>
    <w:rsid w:val="0044269C"/>
    <w:rsid w:val="0044294B"/>
    <w:rsid w:val="004436D7"/>
    <w:rsid w:val="004438CD"/>
    <w:rsid w:val="00443F5B"/>
    <w:rsid w:val="00444087"/>
    <w:rsid w:val="0044450C"/>
    <w:rsid w:val="00444902"/>
    <w:rsid w:val="0044549D"/>
    <w:rsid w:val="00445C2A"/>
    <w:rsid w:val="00445F70"/>
    <w:rsid w:val="00446265"/>
    <w:rsid w:val="00446752"/>
    <w:rsid w:val="00447066"/>
    <w:rsid w:val="004470E3"/>
    <w:rsid w:val="004473CD"/>
    <w:rsid w:val="00447630"/>
    <w:rsid w:val="004478B7"/>
    <w:rsid w:val="00447ED8"/>
    <w:rsid w:val="00450160"/>
    <w:rsid w:val="00450FBA"/>
    <w:rsid w:val="004510DA"/>
    <w:rsid w:val="00451184"/>
    <w:rsid w:val="00451405"/>
    <w:rsid w:val="0045160A"/>
    <w:rsid w:val="004518DE"/>
    <w:rsid w:val="00451A20"/>
    <w:rsid w:val="00451D1B"/>
    <w:rsid w:val="00452609"/>
    <w:rsid w:val="0045490B"/>
    <w:rsid w:val="00454B6E"/>
    <w:rsid w:val="004552E5"/>
    <w:rsid w:val="004558ED"/>
    <w:rsid w:val="00455B0B"/>
    <w:rsid w:val="00455B6D"/>
    <w:rsid w:val="00455E02"/>
    <w:rsid w:val="0045605F"/>
    <w:rsid w:val="004560DB"/>
    <w:rsid w:val="004567B0"/>
    <w:rsid w:val="0045690C"/>
    <w:rsid w:val="00456DEE"/>
    <w:rsid w:val="00457F46"/>
    <w:rsid w:val="00460175"/>
    <w:rsid w:val="00460379"/>
    <w:rsid w:val="004604B3"/>
    <w:rsid w:val="004610D3"/>
    <w:rsid w:val="004612F3"/>
    <w:rsid w:val="004618C1"/>
    <w:rsid w:val="00462304"/>
    <w:rsid w:val="00462759"/>
    <w:rsid w:val="00462863"/>
    <w:rsid w:val="00462B12"/>
    <w:rsid w:val="0046316A"/>
    <w:rsid w:val="00463298"/>
    <w:rsid w:val="00463324"/>
    <w:rsid w:val="0046360D"/>
    <w:rsid w:val="004638E9"/>
    <w:rsid w:val="00463E9A"/>
    <w:rsid w:val="00463F23"/>
    <w:rsid w:val="00464081"/>
    <w:rsid w:val="004645FD"/>
    <w:rsid w:val="0046486A"/>
    <w:rsid w:val="0046498F"/>
    <w:rsid w:val="00464B18"/>
    <w:rsid w:val="00464C83"/>
    <w:rsid w:val="0046563A"/>
    <w:rsid w:val="0046569E"/>
    <w:rsid w:val="00465EF9"/>
    <w:rsid w:val="0046614B"/>
    <w:rsid w:val="004661C5"/>
    <w:rsid w:val="00466ADB"/>
    <w:rsid w:val="00467BA2"/>
    <w:rsid w:val="00467D3C"/>
    <w:rsid w:val="00470127"/>
    <w:rsid w:val="00470960"/>
    <w:rsid w:val="00470CE6"/>
    <w:rsid w:val="00471005"/>
    <w:rsid w:val="00472747"/>
    <w:rsid w:val="004728D7"/>
    <w:rsid w:val="00472C97"/>
    <w:rsid w:val="00472F4C"/>
    <w:rsid w:val="00472FF4"/>
    <w:rsid w:val="0047368E"/>
    <w:rsid w:val="004738E5"/>
    <w:rsid w:val="00473E12"/>
    <w:rsid w:val="00474176"/>
    <w:rsid w:val="00474B85"/>
    <w:rsid w:val="00474E94"/>
    <w:rsid w:val="00475CFF"/>
    <w:rsid w:val="00475D50"/>
    <w:rsid w:val="004760DD"/>
    <w:rsid w:val="00476A1E"/>
    <w:rsid w:val="00476D23"/>
    <w:rsid w:val="00476EEE"/>
    <w:rsid w:val="00476FE6"/>
    <w:rsid w:val="00477369"/>
    <w:rsid w:val="00477934"/>
    <w:rsid w:val="00477DC5"/>
    <w:rsid w:val="00480612"/>
    <w:rsid w:val="00480C0C"/>
    <w:rsid w:val="00481276"/>
    <w:rsid w:val="00481893"/>
    <w:rsid w:val="00481EA7"/>
    <w:rsid w:val="00482533"/>
    <w:rsid w:val="004831BA"/>
    <w:rsid w:val="00483285"/>
    <w:rsid w:val="00483EEC"/>
    <w:rsid w:val="004840BC"/>
    <w:rsid w:val="004851B8"/>
    <w:rsid w:val="00485712"/>
    <w:rsid w:val="0048613F"/>
    <w:rsid w:val="00486B10"/>
    <w:rsid w:val="00486EB1"/>
    <w:rsid w:val="00487383"/>
    <w:rsid w:val="00487613"/>
    <w:rsid w:val="00490750"/>
    <w:rsid w:val="00490EAB"/>
    <w:rsid w:val="0049146D"/>
    <w:rsid w:val="004917E9"/>
    <w:rsid w:val="00491F68"/>
    <w:rsid w:val="0049292B"/>
    <w:rsid w:val="0049355C"/>
    <w:rsid w:val="004938F6"/>
    <w:rsid w:val="00493A39"/>
    <w:rsid w:val="00493C5D"/>
    <w:rsid w:val="00493D28"/>
    <w:rsid w:val="00494AE7"/>
    <w:rsid w:val="00494E27"/>
    <w:rsid w:val="0049508E"/>
    <w:rsid w:val="00495644"/>
    <w:rsid w:val="00495B37"/>
    <w:rsid w:val="00495D60"/>
    <w:rsid w:val="004962D8"/>
    <w:rsid w:val="00496380"/>
    <w:rsid w:val="004965E1"/>
    <w:rsid w:val="0049757E"/>
    <w:rsid w:val="00497845"/>
    <w:rsid w:val="0049798D"/>
    <w:rsid w:val="00497A7F"/>
    <w:rsid w:val="00497D97"/>
    <w:rsid w:val="00497FDB"/>
    <w:rsid w:val="004A0305"/>
    <w:rsid w:val="004A0652"/>
    <w:rsid w:val="004A0E4F"/>
    <w:rsid w:val="004A12AE"/>
    <w:rsid w:val="004A1469"/>
    <w:rsid w:val="004A159D"/>
    <w:rsid w:val="004A212C"/>
    <w:rsid w:val="004A2354"/>
    <w:rsid w:val="004A2690"/>
    <w:rsid w:val="004A28A8"/>
    <w:rsid w:val="004A2FE5"/>
    <w:rsid w:val="004A3481"/>
    <w:rsid w:val="004A363E"/>
    <w:rsid w:val="004A3907"/>
    <w:rsid w:val="004A3D12"/>
    <w:rsid w:val="004A4124"/>
    <w:rsid w:val="004A42EB"/>
    <w:rsid w:val="004A5DBA"/>
    <w:rsid w:val="004A625F"/>
    <w:rsid w:val="004A6299"/>
    <w:rsid w:val="004A6350"/>
    <w:rsid w:val="004A6722"/>
    <w:rsid w:val="004A67FF"/>
    <w:rsid w:val="004A6DA0"/>
    <w:rsid w:val="004A72F4"/>
    <w:rsid w:val="004A779C"/>
    <w:rsid w:val="004A7C46"/>
    <w:rsid w:val="004B00BE"/>
    <w:rsid w:val="004B08F2"/>
    <w:rsid w:val="004B0B35"/>
    <w:rsid w:val="004B1442"/>
    <w:rsid w:val="004B180F"/>
    <w:rsid w:val="004B18DC"/>
    <w:rsid w:val="004B1B0D"/>
    <w:rsid w:val="004B2307"/>
    <w:rsid w:val="004B256C"/>
    <w:rsid w:val="004B25D1"/>
    <w:rsid w:val="004B2887"/>
    <w:rsid w:val="004B29A8"/>
    <w:rsid w:val="004B29E0"/>
    <w:rsid w:val="004B3082"/>
    <w:rsid w:val="004B3771"/>
    <w:rsid w:val="004B420E"/>
    <w:rsid w:val="004B4588"/>
    <w:rsid w:val="004B470D"/>
    <w:rsid w:val="004B47AE"/>
    <w:rsid w:val="004B4EB0"/>
    <w:rsid w:val="004B584D"/>
    <w:rsid w:val="004B618F"/>
    <w:rsid w:val="004B62B8"/>
    <w:rsid w:val="004B6F09"/>
    <w:rsid w:val="004B72E3"/>
    <w:rsid w:val="004B752A"/>
    <w:rsid w:val="004B7AFE"/>
    <w:rsid w:val="004B7B68"/>
    <w:rsid w:val="004B7C8C"/>
    <w:rsid w:val="004B7D9A"/>
    <w:rsid w:val="004C0B3D"/>
    <w:rsid w:val="004C1086"/>
    <w:rsid w:val="004C11F2"/>
    <w:rsid w:val="004C1633"/>
    <w:rsid w:val="004C1DA3"/>
    <w:rsid w:val="004C1DC4"/>
    <w:rsid w:val="004C2BA8"/>
    <w:rsid w:val="004C2F20"/>
    <w:rsid w:val="004C337E"/>
    <w:rsid w:val="004C3560"/>
    <w:rsid w:val="004C3872"/>
    <w:rsid w:val="004C4338"/>
    <w:rsid w:val="004C444E"/>
    <w:rsid w:val="004C4C46"/>
    <w:rsid w:val="004C511D"/>
    <w:rsid w:val="004C557C"/>
    <w:rsid w:val="004C62F7"/>
    <w:rsid w:val="004C65B3"/>
    <w:rsid w:val="004C6F42"/>
    <w:rsid w:val="004C710C"/>
    <w:rsid w:val="004C7D4A"/>
    <w:rsid w:val="004D001A"/>
    <w:rsid w:val="004D0CC4"/>
    <w:rsid w:val="004D14DE"/>
    <w:rsid w:val="004D1898"/>
    <w:rsid w:val="004D2DD9"/>
    <w:rsid w:val="004D2DEB"/>
    <w:rsid w:val="004D3474"/>
    <w:rsid w:val="004D375E"/>
    <w:rsid w:val="004D3B8B"/>
    <w:rsid w:val="004D3BB1"/>
    <w:rsid w:val="004D3BDC"/>
    <w:rsid w:val="004D3D51"/>
    <w:rsid w:val="004D3DEB"/>
    <w:rsid w:val="004D3E2D"/>
    <w:rsid w:val="004D4745"/>
    <w:rsid w:val="004D48CE"/>
    <w:rsid w:val="004D4923"/>
    <w:rsid w:val="004D50EB"/>
    <w:rsid w:val="004D5865"/>
    <w:rsid w:val="004D60E4"/>
    <w:rsid w:val="004D615C"/>
    <w:rsid w:val="004D6387"/>
    <w:rsid w:val="004D67EC"/>
    <w:rsid w:val="004D690E"/>
    <w:rsid w:val="004D7763"/>
    <w:rsid w:val="004D7E15"/>
    <w:rsid w:val="004D7E8F"/>
    <w:rsid w:val="004E0817"/>
    <w:rsid w:val="004E0F7E"/>
    <w:rsid w:val="004E126F"/>
    <w:rsid w:val="004E18D9"/>
    <w:rsid w:val="004E1C3C"/>
    <w:rsid w:val="004E1E59"/>
    <w:rsid w:val="004E34CD"/>
    <w:rsid w:val="004E3DA3"/>
    <w:rsid w:val="004E3DCF"/>
    <w:rsid w:val="004E3F97"/>
    <w:rsid w:val="004E406D"/>
    <w:rsid w:val="004E42A6"/>
    <w:rsid w:val="004E4811"/>
    <w:rsid w:val="004E54E3"/>
    <w:rsid w:val="004E56AF"/>
    <w:rsid w:val="004E56CB"/>
    <w:rsid w:val="004E5844"/>
    <w:rsid w:val="004E62D0"/>
    <w:rsid w:val="004F01E8"/>
    <w:rsid w:val="004F08C7"/>
    <w:rsid w:val="004F0952"/>
    <w:rsid w:val="004F09F2"/>
    <w:rsid w:val="004F0C35"/>
    <w:rsid w:val="004F1070"/>
    <w:rsid w:val="004F13A9"/>
    <w:rsid w:val="004F1A29"/>
    <w:rsid w:val="004F1BC4"/>
    <w:rsid w:val="004F1BCE"/>
    <w:rsid w:val="004F1FAB"/>
    <w:rsid w:val="004F2660"/>
    <w:rsid w:val="004F2A3A"/>
    <w:rsid w:val="004F2CF4"/>
    <w:rsid w:val="004F320B"/>
    <w:rsid w:val="004F3211"/>
    <w:rsid w:val="004F37AC"/>
    <w:rsid w:val="004F3B0A"/>
    <w:rsid w:val="004F3B73"/>
    <w:rsid w:val="004F3CA7"/>
    <w:rsid w:val="004F3D05"/>
    <w:rsid w:val="004F47FB"/>
    <w:rsid w:val="004F4A57"/>
    <w:rsid w:val="004F4B5A"/>
    <w:rsid w:val="004F4DDD"/>
    <w:rsid w:val="004F522A"/>
    <w:rsid w:val="004F57D3"/>
    <w:rsid w:val="004F5D7A"/>
    <w:rsid w:val="004F6062"/>
    <w:rsid w:val="004F63A4"/>
    <w:rsid w:val="004F67C6"/>
    <w:rsid w:val="004F68CD"/>
    <w:rsid w:val="004F6FA7"/>
    <w:rsid w:val="004F7D43"/>
    <w:rsid w:val="0050008A"/>
    <w:rsid w:val="0050067E"/>
    <w:rsid w:val="005017EB"/>
    <w:rsid w:val="005018D7"/>
    <w:rsid w:val="00501970"/>
    <w:rsid w:val="0050296F"/>
    <w:rsid w:val="00502A61"/>
    <w:rsid w:val="00502FB5"/>
    <w:rsid w:val="00503D15"/>
    <w:rsid w:val="00503E8E"/>
    <w:rsid w:val="005041FD"/>
    <w:rsid w:val="00504385"/>
    <w:rsid w:val="0050474D"/>
    <w:rsid w:val="00504781"/>
    <w:rsid w:val="00504A95"/>
    <w:rsid w:val="00504DCF"/>
    <w:rsid w:val="0050565D"/>
    <w:rsid w:val="00505673"/>
    <w:rsid w:val="0050570C"/>
    <w:rsid w:val="00505979"/>
    <w:rsid w:val="00506A05"/>
    <w:rsid w:val="00506AC2"/>
    <w:rsid w:val="00506CFF"/>
    <w:rsid w:val="00506EE5"/>
    <w:rsid w:val="0050755B"/>
    <w:rsid w:val="005078BC"/>
    <w:rsid w:val="00507A9E"/>
    <w:rsid w:val="00510486"/>
    <w:rsid w:val="00510492"/>
    <w:rsid w:val="0051051A"/>
    <w:rsid w:val="005111DE"/>
    <w:rsid w:val="00511489"/>
    <w:rsid w:val="00511520"/>
    <w:rsid w:val="005115AE"/>
    <w:rsid w:val="005119FB"/>
    <w:rsid w:val="00511E61"/>
    <w:rsid w:val="00511F83"/>
    <w:rsid w:val="0051204F"/>
    <w:rsid w:val="00512182"/>
    <w:rsid w:val="005123B6"/>
    <w:rsid w:val="00512CE2"/>
    <w:rsid w:val="005131C1"/>
    <w:rsid w:val="00513E1A"/>
    <w:rsid w:val="00513F43"/>
    <w:rsid w:val="005144D7"/>
    <w:rsid w:val="005146F4"/>
    <w:rsid w:val="00515F05"/>
    <w:rsid w:val="00516D6D"/>
    <w:rsid w:val="00516DA1"/>
    <w:rsid w:val="005171A7"/>
    <w:rsid w:val="0051768D"/>
    <w:rsid w:val="005179EA"/>
    <w:rsid w:val="00517B86"/>
    <w:rsid w:val="00517BAF"/>
    <w:rsid w:val="00517BE9"/>
    <w:rsid w:val="00517FC0"/>
    <w:rsid w:val="005203A3"/>
    <w:rsid w:val="0052049E"/>
    <w:rsid w:val="00520A3B"/>
    <w:rsid w:val="00521772"/>
    <w:rsid w:val="0052181B"/>
    <w:rsid w:val="00522689"/>
    <w:rsid w:val="005228D3"/>
    <w:rsid w:val="00522B04"/>
    <w:rsid w:val="005233BD"/>
    <w:rsid w:val="0052345F"/>
    <w:rsid w:val="00523F68"/>
    <w:rsid w:val="00524A23"/>
    <w:rsid w:val="00525204"/>
    <w:rsid w:val="00525817"/>
    <w:rsid w:val="0052636A"/>
    <w:rsid w:val="0052665D"/>
    <w:rsid w:val="00526CF4"/>
    <w:rsid w:val="00527058"/>
    <w:rsid w:val="00527254"/>
    <w:rsid w:val="00527561"/>
    <w:rsid w:val="0053110A"/>
    <w:rsid w:val="00531723"/>
    <w:rsid w:val="0053187B"/>
    <w:rsid w:val="00531A3A"/>
    <w:rsid w:val="00531B72"/>
    <w:rsid w:val="005323C3"/>
    <w:rsid w:val="0053254E"/>
    <w:rsid w:val="005325C0"/>
    <w:rsid w:val="00532EB2"/>
    <w:rsid w:val="0053344B"/>
    <w:rsid w:val="005337C2"/>
    <w:rsid w:val="00533870"/>
    <w:rsid w:val="00533E08"/>
    <w:rsid w:val="00533F0A"/>
    <w:rsid w:val="005340C8"/>
    <w:rsid w:val="005345C9"/>
    <w:rsid w:val="005348D7"/>
    <w:rsid w:val="00534B30"/>
    <w:rsid w:val="00535E0A"/>
    <w:rsid w:val="0053622A"/>
    <w:rsid w:val="00536909"/>
    <w:rsid w:val="00536A6B"/>
    <w:rsid w:val="00537110"/>
    <w:rsid w:val="0053755E"/>
    <w:rsid w:val="005378BD"/>
    <w:rsid w:val="00537D92"/>
    <w:rsid w:val="005405F7"/>
    <w:rsid w:val="00540F7A"/>
    <w:rsid w:val="00541516"/>
    <w:rsid w:val="005421A1"/>
    <w:rsid w:val="0054239B"/>
    <w:rsid w:val="00542551"/>
    <w:rsid w:val="00543080"/>
    <w:rsid w:val="005442AD"/>
    <w:rsid w:val="00544410"/>
    <w:rsid w:val="00544A11"/>
    <w:rsid w:val="005451BD"/>
    <w:rsid w:val="00545240"/>
    <w:rsid w:val="00545561"/>
    <w:rsid w:val="005458B2"/>
    <w:rsid w:val="00545990"/>
    <w:rsid w:val="00546461"/>
    <w:rsid w:val="00546C27"/>
    <w:rsid w:val="00546DFD"/>
    <w:rsid w:val="00547328"/>
    <w:rsid w:val="005474A5"/>
    <w:rsid w:val="00547727"/>
    <w:rsid w:val="00547AD5"/>
    <w:rsid w:val="00547BCC"/>
    <w:rsid w:val="00547EFB"/>
    <w:rsid w:val="005504C5"/>
    <w:rsid w:val="00550BE4"/>
    <w:rsid w:val="00551396"/>
    <w:rsid w:val="005513E2"/>
    <w:rsid w:val="00551BFB"/>
    <w:rsid w:val="00551CF8"/>
    <w:rsid w:val="00551E08"/>
    <w:rsid w:val="00551FCB"/>
    <w:rsid w:val="00552409"/>
    <w:rsid w:val="00552663"/>
    <w:rsid w:val="0055268D"/>
    <w:rsid w:val="0055279F"/>
    <w:rsid w:val="005532B2"/>
    <w:rsid w:val="00553DE4"/>
    <w:rsid w:val="005543C1"/>
    <w:rsid w:val="005545BF"/>
    <w:rsid w:val="0055494A"/>
    <w:rsid w:val="00554D69"/>
    <w:rsid w:val="00555806"/>
    <w:rsid w:val="00555D5A"/>
    <w:rsid w:val="0055670D"/>
    <w:rsid w:val="00557A43"/>
    <w:rsid w:val="00557A49"/>
    <w:rsid w:val="00557D44"/>
    <w:rsid w:val="00557DE7"/>
    <w:rsid w:val="00560ADB"/>
    <w:rsid w:val="00560E1B"/>
    <w:rsid w:val="00560E2E"/>
    <w:rsid w:val="005613AF"/>
    <w:rsid w:val="00561596"/>
    <w:rsid w:val="005617F9"/>
    <w:rsid w:val="00561A8F"/>
    <w:rsid w:val="00561C1B"/>
    <w:rsid w:val="00561D8A"/>
    <w:rsid w:val="005623CF"/>
    <w:rsid w:val="00562672"/>
    <w:rsid w:val="0056279E"/>
    <w:rsid w:val="00562C38"/>
    <w:rsid w:val="00562FA1"/>
    <w:rsid w:val="00563343"/>
    <w:rsid w:val="00564F8F"/>
    <w:rsid w:val="0056508C"/>
    <w:rsid w:val="005650D0"/>
    <w:rsid w:val="005665C0"/>
    <w:rsid w:val="0056683B"/>
    <w:rsid w:val="00566A53"/>
    <w:rsid w:val="00567328"/>
    <w:rsid w:val="00567451"/>
    <w:rsid w:val="005677CD"/>
    <w:rsid w:val="00567CEB"/>
    <w:rsid w:val="005703CA"/>
    <w:rsid w:val="0057049B"/>
    <w:rsid w:val="00570566"/>
    <w:rsid w:val="00570B34"/>
    <w:rsid w:val="00571571"/>
    <w:rsid w:val="005717BD"/>
    <w:rsid w:val="00571C04"/>
    <w:rsid w:val="00571E1D"/>
    <w:rsid w:val="005722E2"/>
    <w:rsid w:val="005729EF"/>
    <w:rsid w:val="00573D73"/>
    <w:rsid w:val="005747D3"/>
    <w:rsid w:val="00574888"/>
    <w:rsid w:val="00575372"/>
    <w:rsid w:val="00575646"/>
    <w:rsid w:val="00575E63"/>
    <w:rsid w:val="005765FE"/>
    <w:rsid w:val="00577034"/>
    <w:rsid w:val="00577581"/>
    <w:rsid w:val="00577833"/>
    <w:rsid w:val="00577E1C"/>
    <w:rsid w:val="00580AC8"/>
    <w:rsid w:val="00580F0A"/>
    <w:rsid w:val="005819CA"/>
    <w:rsid w:val="00581B87"/>
    <w:rsid w:val="005820C0"/>
    <w:rsid w:val="00582176"/>
    <w:rsid w:val="005822D6"/>
    <w:rsid w:val="005826EF"/>
    <w:rsid w:val="00582CB0"/>
    <w:rsid w:val="00582D1D"/>
    <w:rsid w:val="00582E0D"/>
    <w:rsid w:val="00582E12"/>
    <w:rsid w:val="005837E3"/>
    <w:rsid w:val="00583B23"/>
    <w:rsid w:val="00585671"/>
    <w:rsid w:val="00585838"/>
    <w:rsid w:val="0058656F"/>
    <w:rsid w:val="00586852"/>
    <w:rsid w:val="005868F9"/>
    <w:rsid w:val="005874A1"/>
    <w:rsid w:val="00590E16"/>
    <w:rsid w:val="005912A8"/>
    <w:rsid w:val="00591963"/>
    <w:rsid w:val="00591ED5"/>
    <w:rsid w:val="00593239"/>
    <w:rsid w:val="0059403F"/>
    <w:rsid w:val="00594B63"/>
    <w:rsid w:val="0059529C"/>
    <w:rsid w:val="0059546E"/>
    <w:rsid w:val="0059549C"/>
    <w:rsid w:val="005959A2"/>
    <w:rsid w:val="005959F4"/>
    <w:rsid w:val="00596703"/>
    <w:rsid w:val="005973FE"/>
    <w:rsid w:val="00597B34"/>
    <w:rsid w:val="005A2DF4"/>
    <w:rsid w:val="005A33CE"/>
    <w:rsid w:val="005A34DF"/>
    <w:rsid w:val="005A3865"/>
    <w:rsid w:val="005A3F31"/>
    <w:rsid w:val="005A3FED"/>
    <w:rsid w:val="005A4192"/>
    <w:rsid w:val="005A442C"/>
    <w:rsid w:val="005A47C5"/>
    <w:rsid w:val="005A483A"/>
    <w:rsid w:val="005A4AEC"/>
    <w:rsid w:val="005A532A"/>
    <w:rsid w:val="005A534A"/>
    <w:rsid w:val="005A5B00"/>
    <w:rsid w:val="005A5EEF"/>
    <w:rsid w:val="005A5FA0"/>
    <w:rsid w:val="005A6591"/>
    <w:rsid w:val="005A65DD"/>
    <w:rsid w:val="005A67A8"/>
    <w:rsid w:val="005A6D1B"/>
    <w:rsid w:val="005A7C05"/>
    <w:rsid w:val="005A7D5D"/>
    <w:rsid w:val="005B0012"/>
    <w:rsid w:val="005B07A8"/>
    <w:rsid w:val="005B0A20"/>
    <w:rsid w:val="005B0B78"/>
    <w:rsid w:val="005B0F2B"/>
    <w:rsid w:val="005B1650"/>
    <w:rsid w:val="005B17F7"/>
    <w:rsid w:val="005B1912"/>
    <w:rsid w:val="005B2896"/>
    <w:rsid w:val="005B2BE3"/>
    <w:rsid w:val="005B2CE4"/>
    <w:rsid w:val="005B34E8"/>
    <w:rsid w:val="005B3C7C"/>
    <w:rsid w:val="005B4118"/>
    <w:rsid w:val="005B42C3"/>
    <w:rsid w:val="005B4A38"/>
    <w:rsid w:val="005B4CAF"/>
    <w:rsid w:val="005B4D8D"/>
    <w:rsid w:val="005B50F7"/>
    <w:rsid w:val="005B51F9"/>
    <w:rsid w:val="005B558C"/>
    <w:rsid w:val="005B581F"/>
    <w:rsid w:val="005B5B81"/>
    <w:rsid w:val="005B6924"/>
    <w:rsid w:val="005B6E4B"/>
    <w:rsid w:val="005B739D"/>
    <w:rsid w:val="005B7B41"/>
    <w:rsid w:val="005C07F2"/>
    <w:rsid w:val="005C08D3"/>
    <w:rsid w:val="005C1663"/>
    <w:rsid w:val="005C1932"/>
    <w:rsid w:val="005C1955"/>
    <w:rsid w:val="005C2EB0"/>
    <w:rsid w:val="005C2EE1"/>
    <w:rsid w:val="005C31E1"/>
    <w:rsid w:val="005C32F2"/>
    <w:rsid w:val="005C46A8"/>
    <w:rsid w:val="005C48A2"/>
    <w:rsid w:val="005C4ADF"/>
    <w:rsid w:val="005C4D98"/>
    <w:rsid w:val="005C4FBA"/>
    <w:rsid w:val="005C4FF9"/>
    <w:rsid w:val="005C5498"/>
    <w:rsid w:val="005C6193"/>
    <w:rsid w:val="005C6437"/>
    <w:rsid w:val="005C6663"/>
    <w:rsid w:val="005C6F1E"/>
    <w:rsid w:val="005D01C4"/>
    <w:rsid w:val="005D0340"/>
    <w:rsid w:val="005D061E"/>
    <w:rsid w:val="005D1C78"/>
    <w:rsid w:val="005D1D05"/>
    <w:rsid w:val="005D2447"/>
    <w:rsid w:val="005D24D5"/>
    <w:rsid w:val="005D2E93"/>
    <w:rsid w:val="005D344B"/>
    <w:rsid w:val="005D38DE"/>
    <w:rsid w:val="005D3A50"/>
    <w:rsid w:val="005D3FDA"/>
    <w:rsid w:val="005D4555"/>
    <w:rsid w:val="005D54F5"/>
    <w:rsid w:val="005D5914"/>
    <w:rsid w:val="005D6733"/>
    <w:rsid w:val="005D7527"/>
    <w:rsid w:val="005D77E2"/>
    <w:rsid w:val="005D7DD2"/>
    <w:rsid w:val="005E0403"/>
    <w:rsid w:val="005E0B08"/>
    <w:rsid w:val="005E0DD1"/>
    <w:rsid w:val="005E1168"/>
    <w:rsid w:val="005E1623"/>
    <w:rsid w:val="005E210A"/>
    <w:rsid w:val="005E388B"/>
    <w:rsid w:val="005E41D7"/>
    <w:rsid w:val="005E4D90"/>
    <w:rsid w:val="005E598B"/>
    <w:rsid w:val="005E684F"/>
    <w:rsid w:val="005E6A20"/>
    <w:rsid w:val="005E6AEE"/>
    <w:rsid w:val="005E6D80"/>
    <w:rsid w:val="005E6DD2"/>
    <w:rsid w:val="005E6E1C"/>
    <w:rsid w:val="005E6E57"/>
    <w:rsid w:val="005E6E73"/>
    <w:rsid w:val="005E7235"/>
    <w:rsid w:val="005E7877"/>
    <w:rsid w:val="005E79E4"/>
    <w:rsid w:val="005E7DE2"/>
    <w:rsid w:val="005F05CD"/>
    <w:rsid w:val="005F0CF2"/>
    <w:rsid w:val="005F0D25"/>
    <w:rsid w:val="005F0F00"/>
    <w:rsid w:val="005F1054"/>
    <w:rsid w:val="005F11D0"/>
    <w:rsid w:val="005F1470"/>
    <w:rsid w:val="005F2920"/>
    <w:rsid w:val="005F2A36"/>
    <w:rsid w:val="005F2C2B"/>
    <w:rsid w:val="005F3159"/>
    <w:rsid w:val="005F369B"/>
    <w:rsid w:val="005F386B"/>
    <w:rsid w:val="005F3FF8"/>
    <w:rsid w:val="005F463D"/>
    <w:rsid w:val="005F464B"/>
    <w:rsid w:val="005F54AE"/>
    <w:rsid w:val="005F663D"/>
    <w:rsid w:val="005F6A1D"/>
    <w:rsid w:val="005F6C0B"/>
    <w:rsid w:val="005F6C59"/>
    <w:rsid w:val="005F6F76"/>
    <w:rsid w:val="005F706F"/>
    <w:rsid w:val="005F7097"/>
    <w:rsid w:val="005F752A"/>
    <w:rsid w:val="00600859"/>
    <w:rsid w:val="00601188"/>
    <w:rsid w:val="00601874"/>
    <w:rsid w:val="00601E6E"/>
    <w:rsid w:val="00601FC6"/>
    <w:rsid w:val="00602182"/>
    <w:rsid w:val="00603504"/>
    <w:rsid w:val="006036EC"/>
    <w:rsid w:val="006038BF"/>
    <w:rsid w:val="00603EDD"/>
    <w:rsid w:val="006049CE"/>
    <w:rsid w:val="00605204"/>
    <w:rsid w:val="00605EB3"/>
    <w:rsid w:val="00605FBD"/>
    <w:rsid w:val="00605FE2"/>
    <w:rsid w:val="00606242"/>
    <w:rsid w:val="0060691E"/>
    <w:rsid w:val="00606936"/>
    <w:rsid w:val="00606B16"/>
    <w:rsid w:val="00607706"/>
    <w:rsid w:val="00607A69"/>
    <w:rsid w:val="00607EBE"/>
    <w:rsid w:val="00610587"/>
    <w:rsid w:val="0061093F"/>
    <w:rsid w:val="00611778"/>
    <w:rsid w:val="00612563"/>
    <w:rsid w:val="00612CA7"/>
    <w:rsid w:val="00613224"/>
    <w:rsid w:val="00613DDB"/>
    <w:rsid w:val="00614B48"/>
    <w:rsid w:val="00614B5A"/>
    <w:rsid w:val="00614F6A"/>
    <w:rsid w:val="006155EE"/>
    <w:rsid w:val="006157E5"/>
    <w:rsid w:val="0061584E"/>
    <w:rsid w:val="00615B2F"/>
    <w:rsid w:val="00615D38"/>
    <w:rsid w:val="00616244"/>
    <w:rsid w:val="00616298"/>
    <w:rsid w:val="00616680"/>
    <w:rsid w:val="0061669B"/>
    <w:rsid w:val="0061687A"/>
    <w:rsid w:val="00616C0F"/>
    <w:rsid w:val="00617A36"/>
    <w:rsid w:val="00617DFC"/>
    <w:rsid w:val="00620DB3"/>
    <w:rsid w:val="00621BCD"/>
    <w:rsid w:val="00621CE0"/>
    <w:rsid w:val="00622542"/>
    <w:rsid w:val="00622689"/>
    <w:rsid w:val="006226E0"/>
    <w:rsid w:val="006230B5"/>
    <w:rsid w:val="00623992"/>
    <w:rsid w:val="006239C7"/>
    <w:rsid w:val="00624080"/>
    <w:rsid w:val="00624935"/>
    <w:rsid w:val="00624E46"/>
    <w:rsid w:val="00625821"/>
    <w:rsid w:val="00625B2D"/>
    <w:rsid w:val="00625D18"/>
    <w:rsid w:val="00626154"/>
    <w:rsid w:val="00626B5C"/>
    <w:rsid w:val="00626DCE"/>
    <w:rsid w:val="006272B2"/>
    <w:rsid w:val="006272CD"/>
    <w:rsid w:val="00630E17"/>
    <w:rsid w:val="00630F58"/>
    <w:rsid w:val="00632E8E"/>
    <w:rsid w:val="006338EB"/>
    <w:rsid w:val="00634AD9"/>
    <w:rsid w:val="00635472"/>
    <w:rsid w:val="006357D6"/>
    <w:rsid w:val="00635AFB"/>
    <w:rsid w:val="00635DA7"/>
    <w:rsid w:val="00635DDF"/>
    <w:rsid w:val="00635F89"/>
    <w:rsid w:val="00636403"/>
    <w:rsid w:val="00636562"/>
    <w:rsid w:val="00636E88"/>
    <w:rsid w:val="00637119"/>
    <w:rsid w:val="0063774C"/>
    <w:rsid w:val="0063784D"/>
    <w:rsid w:val="006378E7"/>
    <w:rsid w:val="006379B1"/>
    <w:rsid w:val="006403EC"/>
    <w:rsid w:val="006406C6"/>
    <w:rsid w:val="00640E13"/>
    <w:rsid w:val="00640EF1"/>
    <w:rsid w:val="00640F8D"/>
    <w:rsid w:val="0064105E"/>
    <w:rsid w:val="0064158D"/>
    <w:rsid w:val="00641BD8"/>
    <w:rsid w:val="00641C9E"/>
    <w:rsid w:val="0064297C"/>
    <w:rsid w:val="00642C32"/>
    <w:rsid w:val="006439F7"/>
    <w:rsid w:val="00643BFE"/>
    <w:rsid w:val="00643CDF"/>
    <w:rsid w:val="0064414A"/>
    <w:rsid w:val="006442E7"/>
    <w:rsid w:val="0064442D"/>
    <w:rsid w:val="00644465"/>
    <w:rsid w:val="0064490B"/>
    <w:rsid w:val="00644B9A"/>
    <w:rsid w:val="00644DF4"/>
    <w:rsid w:val="00644E0D"/>
    <w:rsid w:val="00645022"/>
    <w:rsid w:val="006452E3"/>
    <w:rsid w:val="00645CC5"/>
    <w:rsid w:val="00645D6D"/>
    <w:rsid w:val="00647BEF"/>
    <w:rsid w:val="006500F3"/>
    <w:rsid w:val="00650164"/>
    <w:rsid w:val="00650757"/>
    <w:rsid w:val="00650944"/>
    <w:rsid w:val="00650D7E"/>
    <w:rsid w:val="0065123B"/>
    <w:rsid w:val="00651FD6"/>
    <w:rsid w:val="0065201E"/>
    <w:rsid w:val="0065227A"/>
    <w:rsid w:val="0065262C"/>
    <w:rsid w:val="00652D91"/>
    <w:rsid w:val="00653690"/>
    <w:rsid w:val="00653A2B"/>
    <w:rsid w:val="00653FB5"/>
    <w:rsid w:val="00654761"/>
    <w:rsid w:val="00654B97"/>
    <w:rsid w:val="006553CA"/>
    <w:rsid w:val="00655708"/>
    <w:rsid w:val="00655A18"/>
    <w:rsid w:val="00655FC4"/>
    <w:rsid w:val="00656155"/>
    <w:rsid w:val="00657238"/>
    <w:rsid w:val="0066034C"/>
    <w:rsid w:val="00660513"/>
    <w:rsid w:val="00660615"/>
    <w:rsid w:val="0066105E"/>
    <w:rsid w:val="00661C68"/>
    <w:rsid w:val="0066226C"/>
    <w:rsid w:val="00662499"/>
    <w:rsid w:val="006625A1"/>
    <w:rsid w:val="00662D3E"/>
    <w:rsid w:val="00662E2F"/>
    <w:rsid w:val="00662E75"/>
    <w:rsid w:val="00662FB9"/>
    <w:rsid w:val="006634A5"/>
    <w:rsid w:val="00663970"/>
    <w:rsid w:val="00664DE9"/>
    <w:rsid w:val="0066572C"/>
    <w:rsid w:val="00666F22"/>
    <w:rsid w:val="0066757F"/>
    <w:rsid w:val="00670771"/>
    <w:rsid w:val="00672958"/>
    <w:rsid w:val="00672CC1"/>
    <w:rsid w:val="006731A4"/>
    <w:rsid w:val="00673B13"/>
    <w:rsid w:val="00673D7F"/>
    <w:rsid w:val="006740DB"/>
    <w:rsid w:val="00674390"/>
    <w:rsid w:val="006743DA"/>
    <w:rsid w:val="00674B0A"/>
    <w:rsid w:val="006750DD"/>
    <w:rsid w:val="00675799"/>
    <w:rsid w:val="00675DD6"/>
    <w:rsid w:val="00675E73"/>
    <w:rsid w:val="006760A1"/>
    <w:rsid w:val="006763BC"/>
    <w:rsid w:val="00676594"/>
    <w:rsid w:val="006765F7"/>
    <w:rsid w:val="006767E7"/>
    <w:rsid w:val="006768F6"/>
    <w:rsid w:val="006769A7"/>
    <w:rsid w:val="00676AD3"/>
    <w:rsid w:val="00676FF1"/>
    <w:rsid w:val="0067769F"/>
    <w:rsid w:val="00677ACE"/>
    <w:rsid w:val="00677C9D"/>
    <w:rsid w:val="00680780"/>
    <w:rsid w:val="00680E94"/>
    <w:rsid w:val="0068198B"/>
    <w:rsid w:val="00681B96"/>
    <w:rsid w:val="00681D42"/>
    <w:rsid w:val="00681E42"/>
    <w:rsid w:val="00681F34"/>
    <w:rsid w:val="00681F65"/>
    <w:rsid w:val="00682B31"/>
    <w:rsid w:val="00682E86"/>
    <w:rsid w:val="00683103"/>
    <w:rsid w:val="00683650"/>
    <w:rsid w:val="00683B27"/>
    <w:rsid w:val="00683C31"/>
    <w:rsid w:val="00683D59"/>
    <w:rsid w:val="00683E77"/>
    <w:rsid w:val="006842D6"/>
    <w:rsid w:val="006846D2"/>
    <w:rsid w:val="00684C45"/>
    <w:rsid w:val="0068510C"/>
    <w:rsid w:val="00685173"/>
    <w:rsid w:val="00685505"/>
    <w:rsid w:val="006857FB"/>
    <w:rsid w:val="00686279"/>
    <w:rsid w:val="00686442"/>
    <w:rsid w:val="00687576"/>
    <w:rsid w:val="00687623"/>
    <w:rsid w:val="006878D7"/>
    <w:rsid w:val="00687F83"/>
    <w:rsid w:val="00690036"/>
    <w:rsid w:val="00690169"/>
    <w:rsid w:val="00690464"/>
    <w:rsid w:val="00690769"/>
    <w:rsid w:val="00690BF2"/>
    <w:rsid w:val="00690FB9"/>
    <w:rsid w:val="0069235C"/>
    <w:rsid w:val="006926D4"/>
    <w:rsid w:val="006929A2"/>
    <w:rsid w:val="00692A6F"/>
    <w:rsid w:val="00692AE3"/>
    <w:rsid w:val="00692DE7"/>
    <w:rsid w:val="006936BA"/>
    <w:rsid w:val="00693FB0"/>
    <w:rsid w:val="0069457B"/>
    <w:rsid w:val="0069468A"/>
    <w:rsid w:val="0069481A"/>
    <w:rsid w:val="00694BB6"/>
    <w:rsid w:val="00694F3E"/>
    <w:rsid w:val="0069502E"/>
    <w:rsid w:val="006955A9"/>
    <w:rsid w:val="00695630"/>
    <w:rsid w:val="0069594D"/>
    <w:rsid w:val="006959F7"/>
    <w:rsid w:val="00695AF8"/>
    <w:rsid w:val="0069637B"/>
    <w:rsid w:val="006966BD"/>
    <w:rsid w:val="00696BBD"/>
    <w:rsid w:val="00696D8B"/>
    <w:rsid w:val="00696F2B"/>
    <w:rsid w:val="00697227"/>
    <w:rsid w:val="00697ACB"/>
    <w:rsid w:val="00697B8E"/>
    <w:rsid w:val="00697DCE"/>
    <w:rsid w:val="006A064F"/>
    <w:rsid w:val="006A0EA1"/>
    <w:rsid w:val="006A1611"/>
    <w:rsid w:val="006A171A"/>
    <w:rsid w:val="006A2256"/>
    <w:rsid w:val="006A30CA"/>
    <w:rsid w:val="006A3552"/>
    <w:rsid w:val="006A36A4"/>
    <w:rsid w:val="006A3D93"/>
    <w:rsid w:val="006A41DC"/>
    <w:rsid w:val="006A47A8"/>
    <w:rsid w:val="006A48A3"/>
    <w:rsid w:val="006A5170"/>
    <w:rsid w:val="006A5438"/>
    <w:rsid w:val="006A559C"/>
    <w:rsid w:val="006A57B4"/>
    <w:rsid w:val="006A5D98"/>
    <w:rsid w:val="006A60F7"/>
    <w:rsid w:val="006A642D"/>
    <w:rsid w:val="006A65E6"/>
    <w:rsid w:val="006A697F"/>
    <w:rsid w:val="006A72FF"/>
    <w:rsid w:val="006A75D7"/>
    <w:rsid w:val="006A78D3"/>
    <w:rsid w:val="006A7A72"/>
    <w:rsid w:val="006A7C25"/>
    <w:rsid w:val="006B0999"/>
    <w:rsid w:val="006B198D"/>
    <w:rsid w:val="006B2DAE"/>
    <w:rsid w:val="006B30D0"/>
    <w:rsid w:val="006B336B"/>
    <w:rsid w:val="006B346E"/>
    <w:rsid w:val="006B3FB4"/>
    <w:rsid w:val="006B4A3B"/>
    <w:rsid w:val="006B529D"/>
    <w:rsid w:val="006B5396"/>
    <w:rsid w:val="006B54CE"/>
    <w:rsid w:val="006B5944"/>
    <w:rsid w:val="006B5EE6"/>
    <w:rsid w:val="006B61FA"/>
    <w:rsid w:val="006B636F"/>
    <w:rsid w:val="006B6788"/>
    <w:rsid w:val="006B681E"/>
    <w:rsid w:val="006B69C4"/>
    <w:rsid w:val="006B69E1"/>
    <w:rsid w:val="006B6F7B"/>
    <w:rsid w:val="006B70C0"/>
    <w:rsid w:val="006B73F4"/>
    <w:rsid w:val="006B7915"/>
    <w:rsid w:val="006B7D47"/>
    <w:rsid w:val="006C040B"/>
    <w:rsid w:val="006C05A3"/>
    <w:rsid w:val="006C0BE8"/>
    <w:rsid w:val="006C122E"/>
    <w:rsid w:val="006C18EF"/>
    <w:rsid w:val="006C1A2E"/>
    <w:rsid w:val="006C1A63"/>
    <w:rsid w:val="006C1D63"/>
    <w:rsid w:val="006C2302"/>
    <w:rsid w:val="006C241A"/>
    <w:rsid w:val="006C2CDA"/>
    <w:rsid w:val="006C2F1E"/>
    <w:rsid w:val="006C323F"/>
    <w:rsid w:val="006C3312"/>
    <w:rsid w:val="006C3419"/>
    <w:rsid w:val="006C408D"/>
    <w:rsid w:val="006C40C1"/>
    <w:rsid w:val="006C41F0"/>
    <w:rsid w:val="006C42A6"/>
    <w:rsid w:val="006C4669"/>
    <w:rsid w:val="006C4AF1"/>
    <w:rsid w:val="006C5A0C"/>
    <w:rsid w:val="006C5F48"/>
    <w:rsid w:val="006C60DF"/>
    <w:rsid w:val="006C6262"/>
    <w:rsid w:val="006C63CF"/>
    <w:rsid w:val="006C641A"/>
    <w:rsid w:val="006C6ABD"/>
    <w:rsid w:val="006C6E95"/>
    <w:rsid w:val="006C6FE6"/>
    <w:rsid w:val="006C7FBC"/>
    <w:rsid w:val="006D05FE"/>
    <w:rsid w:val="006D0B6E"/>
    <w:rsid w:val="006D0E62"/>
    <w:rsid w:val="006D11C9"/>
    <w:rsid w:val="006D2116"/>
    <w:rsid w:val="006D2637"/>
    <w:rsid w:val="006D2CB3"/>
    <w:rsid w:val="006D3683"/>
    <w:rsid w:val="006D3924"/>
    <w:rsid w:val="006D3F35"/>
    <w:rsid w:val="006D40C9"/>
    <w:rsid w:val="006D4651"/>
    <w:rsid w:val="006D46F4"/>
    <w:rsid w:val="006D5635"/>
    <w:rsid w:val="006D590E"/>
    <w:rsid w:val="006D5B58"/>
    <w:rsid w:val="006D5DA4"/>
    <w:rsid w:val="006D5F36"/>
    <w:rsid w:val="006D630E"/>
    <w:rsid w:val="006D639C"/>
    <w:rsid w:val="006D63B8"/>
    <w:rsid w:val="006D6702"/>
    <w:rsid w:val="006D683C"/>
    <w:rsid w:val="006D6A09"/>
    <w:rsid w:val="006D7901"/>
    <w:rsid w:val="006E0488"/>
    <w:rsid w:val="006E05B4"/>
    <w:rsid w:val="006E073B"/>
    <w:rsid w:val="006E110E"/>
    <w:rsid w:val="006E17B2"/>
    <w:rsid w:val="006E2166"/>
    <w:rsid w:val="006E2825"/>
    <w:rsid w:val="006E2B43"/>
    <w:rsid w:val="006E4870"/>
    <w:rsid w:val="006E571C"/>
    <w:rsid w:val="006E6126"/>
    <w:rsid w:val="006E639F"/>
    <w:rsid w:val="006E720F"/>
    <w:rsid w:val="006E72A1"/>
    <w:rsid w:val="006E756E"/>
    <w:rsid w:val="006E75E2"/>
    <w:rsid w:val="006E7806"/>
    <w:rsid w:val="006F06A8"/>
    <w:rsid w:val="006F0D4F"/>
    <w:rsid w:val="006F0F5F"/>
    <w:rsid w:val="006F1220"/>
    <w:rsid w:val="006F1F5E"/>
    <w:rsid w:val="006F239A"/>
    <w:rsid w:val="006F2C7E"/>
    <w:rsid w:val="006F305A"/>
    <w:rsid w:val="006F3AAD"/>
    <w:rsid w:val="006F3F4C"/>
    <w:rsid w:val="006F449C"/>
    <w:rsid w:val="006F44B7"/>
    <w:rsid w:val="006F462B"/>
    <w:rsid w:val="006F4CAE"/>
    <w:rsid w:val="006F4E4D"/>
    <w:rsid w:val="006F4E62"/>
    <w:rsid w:val="006F4F3A"/>
    <w:rsid w:val="006F5381"/>
    <w:rsid w:val="006F5594"/>
    <w:rsid w:val="006F559A"/>
    <w:rsid w:val="006F55CD"/>
    <w:rsid w:val="006F5857"/>
    <w:rsid w:val="006F6599"/>
    <w:rsid w:val="006F65D4"/>
    <w:rsid w:val="006F6693"/>
    <w:rsid w:val="006F6D91"/>
    <w:rsid w:val="006F6F3B"/>
    <w:rsid w:val="006F7176"/>
    <w:rsid w:val="00700742"/>
    <w:rsid w:val="007012F3"/>
    <w:rsid w:val="007013F4"/>
    <w:rsid w:val="0070193D"/>
    <w:rsid w:val="007020C4"/>
    <w:rsid w:val="007028F7"/>
    <w:rsid w:val="00702B58"/>
    <w:rsid w:val="0070391B"/>
    <w:rsid w:val="00703C6D"/>
    <w:rsid w:val="00703CE0"/>
    <w:rsid w:val="00704077"/>
    <w:rsid w:val="007041AF"/>
    <w:rsid w:val="00704390"/>
    <w:rsid w:val="007043F8"/>
    <w:rsid w:val="00704EF5"/>
    <w:rsid w:val="00704EFB"/>
    <w:rsid w:val="00705534"/>
    <w:rsid w:val="00705720"/>
    <w:rsid w:val="00706618"/>
    <w:rsid w:val="00706ADE"/>
    <w:rsid w:val="00706BC6"/>
    <w:rsid w:val="007071C5"/>
    <w:rsid w:val="00707261"/>
    <w:rsid w:val="00707374"/>
    <w:rsid w:val="007075B6"/>
    <w:rsid w:val="00707C08"/>
    <w:rsid w:val="00710147"/>
    <w:rsid w:val="007103A4"/>
    <w:rsid w:val="00710966"/>
    <w:rsid w:val="007109EF"/>
    <w:rsid w:val="00710BA9"/>
    <w:rsid w:val="00710E52"/>
    <w:rsid w:val="0071110D"/>
    <w:rsid w:val="00711477"/>
    <w:rsid w:val="00711620"/>
    <w:rsid w:val="00711F3E"/>
    <w:rsid w:val="00712C05"/>
    <w:rsid w:val="00712F66"/>
    <w:rsid w:val="00713273"/>
    <w:rsid w:val="00713908"/>
    <w:rsid w:val="007139B7"/>
    <w:rsid w:val="00713D44"/>
    <w:rsid w:val="00713FE4"/>
    <w:rsid w:val="0071411A"/>
    <w:rsid w:val="0071473C"/>
    <w:rsid w:val="00714760"/>
    <w:rsid w:val="007153F3"/>
    <w:rsid w:val="00715991"/>
    <w:rsid w:val="00715E6D"/>
    <w:rsid w:val="00715E9F"/>
    <w:rsid w:val="007170CD"/>
    <w:rsid w:val="007172C2"/>
    <w:rsid w:val="007174BD"/>
    <w:rsid w:val="0071763F"/>
    <w:rsid w:val="007178A4"/>
    <w:rsid w:val="00717A0C"/>
    <w:rsid w:val="00717ADA"/>
    <w:rsid w:val="00717B84"/>
    <w:rsid w:val="00717DB6"/>
    <w:rsid w:val="00717F67"/>
    <w:rsid w:val="00720803"/>
    <w:rsid w:val="007209AC"/>
    <w:rsid w:val="007209D9"/>
    <w:rsid w:val="00721396"/>
    <w:rsid w:val="00721B02"/>
    <w:rsid w:val="00721C32"/>
    <w:rsid w:val="00722A29"/>
    <w:rsid w:val="0072340B"/>
    <w:rsid w:val="00723569"/>
    <w:rsid w:val="0072377D"/>
    <w:rsid w:val="007237A5"/>
    <w:rsid w:val="00724344"/>
    <w:rsid w:val="007250B6"/>
    <w:rsid w:val="007255EA"/>
    <w:rsid w:val="00725A3F"/>
    <w:rsid w:val="007265C9"/>
    <w:rsid w:val="00727138"/>
    <w:rsid w:val="00727B4E"/>
    <w:rsid w:val="00730134"/>
    <w:rsid w:val="00730990"/>
    <w:rsid w:val="00730C43"/>
    <w:rsid w:val="00730C9A"/>
    <w:rsid w:val="00731075"/>
    <w:rsid w:val="007310C6"/>
    <w:rsid w:val="0073181C"/>
    <w:rsid w:val="007319AA"/>
    <w:rsid w:val="00732A54"/>
    <w:rsid w:val="00732C37"/>
    <w:rsid w:val="00732F93"/>
    <w:rsid w:val="00733F74"/>
    <w:rsid w:val="0073486C"/>
    <w:rsid w:val="00735C33"/>
    <w:rsid w:val="00736325"/>
    <w:rsid w:val="00736667"/>
    <w:rsid w:val="007369BB"/>
    <w:rsid w:val="00736B4C"/>
    <w:rsid w:val="00736B9C"/>
    <w:rsid w:val="0073718A"/>
    <w:rsid w:val="007378EC"/>
    <w:rsid w:val="00737A47"/>
    <w:rsid w:val="007400D4"/>
    <w:rsid w:val="00740240"/>
    <w:rsid w:val="007408F0"/>
    <w:rsid w:val="00740DC3"/>
    <w:rsid w:val="00740ED3"/>
    <w:rsid w:val="00741440"/>
    <w:rsid w:val="0074172D"/>
    <w:rsid w:val="007417E6"/>
    <w:rsid w:val="007417F3"/>
    <w:rsid w:val="007435C6"/>
    <w:rsid w:val="0074365C"/>
    <w:rsid w:val="007449BD"/>
    <w:rsid w:val="00745A22"/>
    <w:rsid w:val="00746727"/>
    <w:rsid w:val="00747197"/>
    <w:rsid w:val="0074722D"/>
    <w:rsid w:val="00747C7F"/>
    <w:rsid w:val="00747CB1"/>
    <w:rsid w:val="007506D5"/>
    <w:rsid w:val="007509A0"/>
    <w:rsid w:val="00751FEC"/>
    <w:rsid w:val="007520FE"/>
    <w:rsid w:val="00752246"/>
    <w:rsid w:val="0075295A"/>
    <w:rsid w:val="00752B08"/>
    <w:rsid w:val="0075308C"/>
    <w:rsid w:val="00753173"/>
    <w:rsid w:val="00753E6D"/>
    <w:rsid w:val="00753F34"/>
    <w:rsid w:val="007546B7"/>
    <w:rsid w:val="007554B1"/>
    <w:rsid w:val="00755C0E"/>
    <w:rsid w:val="00757AAF"/>
    <w:rsid w:val="00760A3A"/>
    <w:rsid w:val="00760B37"/>
    <w:rsid w:val="00760BBD"/>
    <w:rsid w:val="00760E55"/>
    <w:rsid w:val="00761723"/>
    <w:rsid w:val="007618B6"/>
    <w:rsid w:val="00761D6E"/>
    <w:rsid w:val="00761F12"/>
    <w:rsid w:val="00762229"/>
    <w:rsid w:val="0076297E"/>
    <w:rsid w:val="00763382"/>
    <w:rsid w:val="00763F7A"/>
    <w:rsid w:val="0076469A"/>
    <w:rsid w:val="00764A89"/>
    <w:rsid w:val="00764D63"/>
    <w:rsid w:val="00764E16"/>
    <w:rsid w:val="00764F20"/>
    <w:rsid w:val="007654A9"/>
    <w:rsid w:val="0076557D"/>
    <w:rsid w:val="00765880"/>
    <w:rsid w:val="00765EAD"/>
    <w:rsid w:val="00766E84"/>
    <w:rsid w:val="00767215"/>
    <w:rsid w:val="00767D19"/>
    <w:rsid w:val="00767F41"/>
    <w:rsid w:val="00770DD2"/>
    <w:rsid w:val="00770E9C"/>
    <w:rsid w:val="0077153B"/>
    <w:rsid w:val="00772705"/>
    <w:rsid w:val="00772C0B"/>
    <w:rsid w:val="00773C9B"/>
    <w:rsid w:val="00774443"/>
    <w:rsid w:val="0077459D"/>
    <w:rsid w:val="00774602"/>
    <w:rsid w:val="00774FA3"/>
    <w:rsid w:val="007751D6"/>
    <w:rsid w:val="007757B8"/>
    <w:rsid w:val="00775CAC"/>
    <w:rsid w:val="00776154"/>
    <w:rsid w:val="007762DA"/>
    <w:rsid w:val="00776301"/>
    <w:rsid w:val="00776469"/>
    <w:rsid w:val="00776F6B"/>
    <w:rsid w:val="007771FA"/>
    <w:rsid w:val="0077749A"/>
    <w:rsid w:val="00777B20"/>
    <w:rsid w:val="007800F4"/>
    <w:rsid w:val="0078012D"/>
    <w:rsid w:val="00780982"/>
    <w:rsid w:val="00780CDA"/>
    <w:rsid w:val="00781272"/>
    <w:rsid w:val="00781677"/>
    <w:rsid w:val="00781B95"/>
    <w:rsid w:val="00781E53"/>
    <w:rsid w:val="00782357"/>
    <w:rsid w:val="007828F3"/>
    <w:rsid w:val="00782F0C"/>
    <w:rsid w:val="00782F1E"/>
    <w:rsid w:val="007837E3"/>
    <w:rsid w:val="007849B5"/>
    <w:rsid w:val="00784E46"/>
    <w:rsid w:val="00785762"/>
    <w:rsid w:val="00785B60"/>
    <w:rsid w:val="00786018"/>
    <w:rsid w:val="00790596"/>
    <w:rsid w:val="0079103A"/>
    <w:rsid w:val="00791435"/>
    <w:rsid w:val="007914DB"/>
    <w:rsid w:val="00791EC3"/>
    <w:rsid w:val="00791F64"/>
    <w:rsid w:val="007920E6"/>
    <w:rsid w:val="00792F07"/>
    <w:rsid w:val="00793178"/>
    <w:rsid w:val="00793865"/>
    <w:rsid w:val="00793F86"/>
    <w:rsid w:val="00794629"/>
    <w:rsid w:val="00794DAD"/>
    <w:rsid w:val="00794E7C"/>
    <w:rsid w:val="007963AC"/>
    <w:rsid w:val="00796606"/>
    <w:rsid w:val="007968C0"/>
    <w:rsid w:val="00796DDA"/>
    <w:rsid w:val="007976B4"/>
    <w:rsid w:val="007A0779"/>
    <w:rsid w:val="007A0AED"/>
    <w:rsid w:val="007A132E"/>
    <w:rsid w:val="007A1B2B"/>
    <w:rsid w:val="007A2210"/>
    <w:rsid w:val="007A2582"/>
    <w:rsid w:val="007A2BBB"/>
    <w:rsid w:val="007A305E"/>
    <w:rsid w:val="007A3836"/>
    <w:rsid w:val="007A3B16"/>
    <w:rsid w:val="007A3FA2"/>
    <w:rsid w:val="007A41FF"/>
    <w:rsid w:val="007A4317"/>
    <w:rsid w:val="007A45B9"/>
    <w:rsid w:val="007A4640"/>
    <w:rsid w:val="007A4975"/>
    <w:rsid w:val="007A4AD3"/>
    <w:rsid w:val="007A54F0"/>
    <w:rsid w:val="007A5C89"/>
    <w:rsid w:val="007A5F33"/>
    <w:rsid w:val="007A5FAC"/>
    <w:rsid w:val="007A6A1E"/>
    <w:rsid w:val="007A765C"/>
    <w:rsid w:val="007A77DC"/>
    <w:rsid w:val="007A7CBB"/>
    <w:rsid w:val="007B00AB"/>
    <w:rsid w:val="007B1888"/>
    <w:rsid w:val="007B22A3"/>
    <w:rsid w:val="007B23D1"/>
    <w:rsid w:val="007B25F1"/>
    <w:rsid w:val="007B4178"/>
    <w:rsid w:val="007B431A"/>
    <w:rsid w:val="007B46CE"/>
    <w:rsid w:val="007B4919"/>
    <w:rsid w:val="007B5049"/>
    <w:rsid w:val="007B523D"/>
    <w:rsid w:val="007B5C22"/>
    <w:rsid w:val="007B5ED0"/>
    <w:rsid w:val="007B646A"/>
    <w:rsid w:val="007B66E3"/>
    <w:rsid w:val="007B741A"/>
    <w:rsid w:val="007B7F30"/>
    <w:rsid w:val="007B7FF1"/>
    <w:rsid w:val="007C029D"/>
    <w:rsid w:val="007C043B"/>
    <w:rsid w:val="007C0475"/>
    <w:rsid w:val="007C0836"/>
    <w:rsid w:val="007C0A37"/>
    <w:rsid w:val="007C0DAC"/>
    <w:rsid w:val="007C0DE2"/>
    <w:rsid w:val="007C122D"/>
    <w:rsid w:val="007C14A6"/>
    <w:rsid w:val="007C1512"/>
    <w:rsid w:val="007C15B9"/>
    <w:rsid w:val="007C1C6E"/>
    <w:rsid w:val="007C24C6"/>
    <w:rsid w:val="007C349D"/>
    <w:rsid w:val="007C3B1B"/>
    <w:rsid w:val="007C3BB9"/>
    <w:rsid w:val="007C42B9"/>
    <w:rsid w:val="007C4371"/>
    <w:rsid w:val="007C43CC"/>
    <w:rsid w:val="007C45C7"/>
    <w:rsid w:val="007C4B45"/>
    <w:rsid w:val="007C4D58"/>
    <w:rsid w:val="007C4EDF"/>
    <w:rsid w:val="007C4FAE"/>
    <w:rsid w:val="007C527C"/>
    <w:rsid w:val="007C5455"/>
    <w:rsid w:val="007C5671"/>
    <w:rsid w:val="007C5A1A"/>
    <w:rsid w:val="007C6238"/>
    <w:rsid w:val="007C6402"/>
    <w:rsid w:val="007C70BC"/>
    <w:rsid w:val="007C7174"/>
    <w:rsid w:val="007C7890"/>
    <w:rsid w:val="007C78CB"/>
    <w:rsid w:val="007C7C43"/>
    <w:rsid w:val="007D07C6"/>
    <w:rsid w:val="007D0A22"/>
    <w:rsid w:val="007D0AEB"/>
    <w:rsid w:val="007D0B72"/>
    <w:rsid w:val="007D0F78"/>
    <w:rsid w:val="007D17A0"/>
    <w:rsid w:val="007D19C5"/>
    <w:rsid w:val="007D1CCF"/>
    <w:rsid w:val="007D2AC3"/>
    <w:rsid w:val="007D2E72"/>
    <w:rsid w:val="007D35D5"/>
    <w:rsid w:val="007D35DF"/>
    <w:rsid w:val="007D387E"/>
    <w:rsid w:val="007D445B"/>
    <w:rsid w:val="007D4672"/>
    <w:rsid w:val="007D5A34"/>
    <w:rsid w:val="007D5E47"/>
    <w:rsid w:val="007D6AAF"/>
    <w:rsid w:val="007D6DC4"/>
    <w:rsid w:val="007D6DDF"/>
    <w:rsid w:val="007D73F4"/>
    <w:rsid w:val="007D769E"/>
    <w:rsid w:val="007D7AC8"/>
    <w:rsid w:val="007E0886"/>
    <w:rsid w:val="007E088A"/>
    <w:rsid w:val="007E092E"/>
    <w:rsid w:val="007E095D"/>
    <w:rsid w:val="007E0A66"/>
    <w:rsid w:val="007E0F50"/>
    <w:rsid w:val="007E1580"/>
    <w:rsid w:val="007E1888"/>
    <w:rsid w:val="007E28DA"/>
    <w:rsid w:val="007E2924"/>
    <w:rsid w:val="007E2ED4"/>
    <w:rsid w:val="007E395B"/>
    <w:rsid w:val="007E3971"/>
    <w:rsid w:val="007E4078"/>
    <w:rsid w:val="007E4B5A"/>
    <w:rsid w:val="007E500B"/>
    <w:rsid w:val="007E54AE"/>
    <w:rsid w:val="007E5B3A"/>
    <w:rsid w:val="007E6CC7"/>
    <w:rsid w:val="007E6D05"/>
    <w:rsid w:val="007E75AA"/>
    <w:rsid w:val="007E7B81"/>
    <w:rsid w:val="007E7C87"/>
    <w:rsid w:val="007F0038"/>
    <w:rsid w:val="007F03E1"/>
    <w:rsid w:val="007F0852"/>
    <w:rsid w:val="007F0F77"/>
    <w:rsid w:val="007F0FC9"/>
    <w:rsid w:val="007F2194"/>
    <w:rsid w:val="007F22ED"/>
    <w:rsid w:val="007F2662"/>
    <w:rsid w:val="007F3057"/>
    <w:rsid w:val="007F40AB"/>
    <w:rsid w:val="007F4D95"/>
    <w:rsid w:val="007F54EF"/>
    <w:rsid w:val="007F5C27"/>
    <w:rsid w:val="007F6260"/>
    <w:rsid w:val="007F6E66"/>
    <w:rsid w:val="007F7AAA"/>
    <w:rsid w:val="00800675"/>
    <w:rsid w:val="0080072C"/>
    <w:rsid w:val="00800A12"/>
    <w:rsid w:val="0080115F"/>
    <w:rsid w:val="00801478"/>
    <w:rsid w:val="00801BA7"/>
    <w:rsid w:val="008021B2"/>
    <w:rsid w:val="00802840"/>
    <w:rsid w:val="008030EA"/>
    <w:rsid w:val="008031B9"/>
    <w:rsid w:val="00803C04"/>
    <w:rsid w:val="00803C26"/>
    <w:rsid w:val="00803F66"/>
    <w:rsid w:val="008041A4"/>
    <w:rsid w:val="008041C3"/>
    <w:rsid w:val="00804A5B"/>
    <w:rsid w:val="00805230"/>
    <w:rsid w:val="008054B8"/>
    <w:rsid w:val="0080666D"/>
    <w:rsid w:val="00806950"/>
    <w:rsid w:val="008071A9"/>
    <w:rsid w:val="00807919"/>
    <w:rsid w:val="00807A47"/>
    <w:rsid w:val="00807C97"/>
    <w:rsid w:val="00807CE3"/>
    <w:rsid w:val="00810824"/>
    <w:rsid w:val="00810857"/>
    <w:rsid w:val="00810A99"/>
    <w:rsid w:val="00810D65"/>
    <w:rsid w:val="008118E9"/>
    <w:rsid w:val="00812294"/>
    <w:rsid w:val="0081336D"/>
    <w:rsid w:val="008139F2"/>
    <w:rsid w:val="00814269"/>
    <w:rsid w:val="00814520"/>
    <w:rsid w:val="00815047"/>
    <w:rsid w:val="00815822"/>
    <w:rsid w:val="008162DD"/>
    <w:rsid w:val="0081659E"/>
    <w:rsid w:val="0081662B"/>
    <w:rsid w:val="00816A31"/>
    <w:rsid w:val="00816F25"/>
    <w:rsid w:val="008170A6"/>
    <w:rsid w:val="008170E7"/>
    <w:rsid w:val="0081725F"/>
    <w:rsid w:val="008174AC"/>
    <w:rsid w:val="00817A36"/>
    <w:rsid w:val="008201B8"/>
    <w:rsid w:val="008201CB"/>
    <w:rsid w:val="008205D9"/>
    <w:rsid w:val="0082060C"/>
    <w:rsid w:val="00820639"/>
    <w:rsid w:val="0082098E"/>
    <w:rsid w:val="00820AC8"/>
    <w:rsid w:val="008214DC"/>
    <w:rsid w:val="00821572"/>
    <w:rsid w:val="00821CB2"/>
    <w:rsid w:val="00822446"/>
    <w:rsid w:val="008228ED"/>
    <w:rsid w:val="00822A74"/>
    <w:rsid w:val="00822E9A"/>
    <w:rsid w:val="00823025"/>
    <w:rsid w:val="008236C9"/>
    <w:rsid w:val="008237B0"/>
    <w:rsid w:val="008238D3"/>
    <w:rsid w:val="00823EB6"/>
    <w:rsid w:val="0082401F"/>
    <w:rsid w:val="0082485C"/>
    <w:rsid w:val="008248EC"/>
    <w:rsid w:val="008251A2"/>
    <w:rsid w:val="00826258"/>
    <w:rsid w:val="00826376"/>
    <w:rsid w:val="0082667E"/>
    <w:rsid w:val="008267F4"/>
    <w:rsid w:val="00826D48"/>
    <w:rsid w:val="00826DA1"/>
    <w:rsid w:val="0082773A"/>
    <w:rsid w:val="00827B0D"/>
    <w:rsid w:val="00827EA4"/>
    <w:rsid w:val="00830869"/>
    <w:rsid w:val="008309E3"/>
    <w:rsid w:val="00830F3A"/>
    <w:rsid w:val="00831011"/>
    <w:rsid w:val="008316E8"/>
    <w:rsid w:val="00831953"/>
    <w:rsid w:val="00833A39"/>
    <w:rsid w:val="00834177"/>
    <w:rsid w:val="008341EC"/>
    <w:rsid w:val="008345AF"/>
    <w:rsid w:val="00834889"/>
    <w:rsid w:val="00834977"/>
    <w:rsid w:val="00835288"/>
    <w:rsid w:val="0083534A"/>
    <w:rsid w:val="0083563D"/>
    <w:rsid w:val="008357D3"/>
    <w:rsid w:val="0083595D"/>
    <w:rsid w:val="00835CC3"/>
    <w:rsid w:val="00835EDD"/>
    <w:rsid w:val="00836278"/>
    <w:rsid w:val="00836472"/>
    <w:rsid w:val="00836956"/>
    <w:rsid w:val="00837039"/>
    <w:rsid w:val="00837E93"/>
    <w:rsid w:val="00840B38"/>
    <w:rsid w:val="00840B95"/>
    <w:rsid w:val="008410A1"/>
    <w:rsid w:val="00841323"/>
    <w:rsid w:val="008415BA"/>
    <w:rsid w:val="00841618"/>
    <w:rsid w:val="0084182C"/>
    <w:rsid w:val="008424B8"/>
    <w:rsid w:val="00842EF8"/>
    <w:rsid w:val="0084451A"/>
    <w:rsid w:val="00845D0D"/>
    <w:rsid w:val="00846B4E"/>
    <w:rsid w:val="008502A8"/>
    <w:rsid w:val="008505EE"/>
    <w:rsid w:val="008509E5"/>
    <w:rsid w:val="00850A76"/>
    <w:rsid w:val="00850B19"/>
    <w:rsid w:val="00850BB1"/>
    <w:rsid w:val="00851762"/>
    <w:rsid w:val="0085185A"/>
    <w:rsid w:val="00851DD9"/>
    <w:rsid w:val="00853A65"/>
    <w:rsid w:val="00853B31"/>
    <w:rsid w:val="00853BD2"/>
    <w:rsid w:val="00854466"/>
    <w:rsid w:val="00854A26"/>
    <w:rsid w:val="00854B13"/>
    <w:rsid w:val="0085545D"/>
    <w:rsid w:val="00855E72"/>
    <w:rsid w:val="008563A5"/>
    <w:rsid w:val="00856613"/>
    <w:rsid w:val="00856C9A"/>
    <w:rsid w:val="008570F3"/>
    <w:rsid w:val="00857C39"/>
    <w:rsid w:val="00857C41"/>
    <w:rsid w:val="00857E85"/>
    <w:rsid w:val="00860341"/>
    <w:rsid w:val="008612AA"/>
    <w:rsid w:val="0086195D"/>
    <w:rsid w:val="00861FA9"/>
    <w:rsid w:val="0086207B"/>
    <w:rsid w:val="00862C55"/>
    <w:rsid w:val="00862EA0"/>
    <w:rsid w:val="00864132"/>
    <w:rsid w:val="008646D0"/>
    <w:rsid w:val="00864742"/>
    <w:rsid w:val="00864D71"/>
    <w:rsid w:val="00864FBE"/>
    <w:rsid w:val="008652C5"/>
    <w:rsid w:val="00865808"/>
    <w:rsid w:val="00865814"/>
    <w:rsid w:val="008669CD"/>
    <w:rsid w:val="00866DDD"/>
    <w:rsid w:val="00867255"/>
    <w:rsid w:val="008676D5"/>
    <w:rsid w:val="00867BB2"/>
    <w:rsid w:val="00867BEC"/>
    <w:rsid w:val="00867D01"/>
    <w:rsid w:val="00867D28"/>
    <w:rsid w:val="00867EA0"/>
    <w:rsid w:val="00867F8A"/>
    <w:rsid w:val="008707BB"/>
    <w:rsid w:val="008710C9"/>
    <w:rsid w:val="00871175"/>
    <w:rsid w:val="008714D3"/>
    <w:rsid w:val="00871A17"/>
    <w:rsid w:val="00871B53"/>
    <w:rsid w:val="00872BED"/>
    <w:rsid w:val="00872CFD"/>
    <w:rsid w:val="00872F54"/>
    <w:rsid w:val="00873DD9"/>
    <w:rsid w:val="00873DDC"/>
    <w:rsid w:val="00873F24"/>
    <w:rsid w:val="00874147"/>
    <w:rsid w:val="00874B66"/>
    <w:rsid w:val="00874BDE"/>
    <w:rsid w:val="00875133"/>
    <w:rsid w:val="00875649"/>
    <w:rsid w:val="008765F4"/>
    <w:rsid w:val="00876AE3"/>
    <w:rsid w:val="0087756E"/>
    <w:rsid w:val="00877F8F"/>
    <w:rsid w:val="00880065"/>
    <w:rsid w:val="00880442"/>
    <w:rsid w:val="00881726"/>
    <w:rsid w:val="00881A9E"/>
    <w:rsid w:val="00882173"/>
    <w:rsid w:val="0088288E"/>
    <w:rsid w:val="00882CE3"/>
    <w:rsid w:val="00882E73"/>
    <w:rsid w:val="00882F0B"/>
    <w:rsid w:val="0088302A"/>
    <w:rsid w:val="00883214"/>
    <w:rsid w:val="008838A0"/>
    <w:rsid w:val="008848CF"/>
    <w:rsid w:val="00884DC5"/>
    <w:rsid w:val="008857A1"/>
    <w:rsid w:val="00886230"/>
    <w:rsid w:val="0088643B"/>
    <w:rsid w:val="008869AC"/>
    <w:rsid w:val="00886C02"/>
    <w:rsid w:val="00886ED5"/>
    <w:rsid w:val="0088772E"/>
    <w:rsid w:val="00887C60"/>
    <w:rsid w:val="00887D59"/>
    <w:rsid w:val="008902BF"/>
    <w:rsid w:val="008906C5"/>
    <w:rsid w:val="008909CB"/>
    <w:rsid w:val="008910C6"/>
    <w:rsid w:val="00891244"/>
    <w:rsid w:val="00891DF5"/>
    <w:rsid w:val="00892579"/>
    <w:rsid w:val="008927F3"/>
    <w:rsid w:val="0089295E"/>
    <w:rsid w:val="00892996"/>
    <w:rsid w:val="00892BF2"/>
    <w:rsid w:val="00892EC9"/>
    <w:rsid w:val="008932EC"/>
    <w:rsid w:val="00893E19"/>
    <w:rsid w:val="00894510"/>
    <w:rsid w:val="0089584D"/>
    <w:rsid w:val="00896B43"/>
    <w:rsid w:val="00896BF2"/>
    <w:rsid w:val="00897195"/>
    <w:rsid w:val="00897384"/>
    <w:rsid w:val="00897437"/>
    <w:rsid w:val="00897558"/>
    <w:rsid w:val="00897774"/>
    <w:rsid w:val="00897ACC"/>
    <w:rsid w:val="00897B69"/>
    <w:rsid w:val="008A0497"/>
    <w:rsid w:val="008A04F9"/>
    <w:rsid w:val="008A069E"/>
    <w:rsid w:val="008A106A"/>
    <w:rsid w:val="008A177F"/>
    <w:rsid w:val="008A1904"/>
    <w:rsid w:val="008A1DA8"/>
    <w:rsid w:val="008A2294"/>
    <w:rsid w:val="008A2F88"/>
    <w:rsid w:val="008A39EF"/>
    <w:rsid w:val="008A421C"/>
    <w:rsid w:val="008A46F7"/>
    <w:rsid w:val="008A490A"/>
    <w:rsid w:val="008A56E4"/>
    <w:rsid w:val="008A60F8"/>
    <w:rsid w:val="008A6871"/>
    <w:rsid w:val="008A6A00"/>
    <w:rsid w:val="008B0B03"/>
    <w:rsid w:val="008B1025"/>
    <w:rsid w:val="008B10C1"/>
    <w:rsid w:val="008B11B8"/>
    <w:rsid w:val="008B1280"/>
    <w:rsid w:val="008B1566"/>
    <w:rsid w:val="008B28CC"/>
    <w:rsid w:val="008B2AD6"/>
    <w:rsid w:val="008B30F4"/>
    <w:rsid w:val="008B36F2"/>
    <w:rsid w:val="008B4431"/>
    <w:rsid w:val="008B5074"/>
    <w:rsid w:val="008B5A7D"/>
    <w:rsid w:val="008B60C0"/>
    <w:rsid w:val="008B67BB"/>
    <w:rsid w:val="008B6A84"/>
    <w:rsid w:val="008B7224"/>
    <w:rsid w:val="008B72EE"/>
    <w:rsid w:val="008B7DAE"/>
    <w:rsid w:val="008C03BD"/>
    <w:rsid w:val="008C087E"/>
    <w:rsid w:val="008C0ABC"/>
    <w:rsid w:val="008C12EF"/>
    <w:rsid w:val="008C14A2"/>
    <w:rsid w:val="008C1FDC"/>
    <w:rsid w:val="008C220E"/>
    <w:rsid w:val="008C23BF"/>
    <w:rsid w:val="008C2462"/>
    <w:rsid w:val="008C2FD4"/>
    <w:rsid w:val="008C35BD"/>
    <w:rsid w:val="008C3941"/>
    <w:rsid w:val="008C3EB0"/>
    <w:rsid w:val="008C43BE"/>
    <w:rsid w:val="008C4F23"/>
    <w:rsid w:val="008C4F42"/>
    <w:rsid w:val="008C50AC"/>
    <w:rsid w:val="008C5425"/>
    <w:rsid w:val="008C5500"/>
    <w:rsid w:val="008C5F46"/>
    <w:rsid w:val="008C5FF0"/>
    <w:rsid w:val="008C601F"/>
    <w:rsid w:val="008C6324"/>
    <w:rsid w:val="008C6849"/>
    <w:rsid w:val="008C69E9"/>
    <w:rsid w:val="008C722A"/>
    <w:rsid w:val="008C72B6"/>
    <w:rsid w:val="008C7A55"/>
    <w:rsid w:val="008C7EC6"/>
    <w:rsid w:val="008D002D"/>
    <w:rsid w:val="008D05EF"/>
    <w:rsid w:val="008D06DD"/>
    <w:rsid w:val="008D0710"/>
    <w:rsid w:val="008D1762"/>
    <w:rsid w:val="008D1945"/>
    <w:rsid w:val="008D2790"/>
    <w:rsid w:val="008D4156"/>
    <w:rsid w:val="008D438F"/>
    <w:rsid w:val="008D4806"/>
    <w:rsid w:val="008D5092"/>
    <w:rsid w:val="008D549B"/>
    <w:rsid w:val="008D5549"/>
    <w:rsid w:val="008D5A16"/>
    <w:rsid w:val="008D5B81"/>
    <w:rsid w:val="008D5CD3"/>
    <w:rsid w:val="008D6096"/>
    <w:rsid w:val="008D624C"/>
    <w:rsid w:val="008D6AA4"/>
    <w:rsid w:val="008D6BAC"/>
    <w:rsid w:val="008D6D88"/>
    <w:rsid w:val="008D7947"/>
    <w:rsid w:val="008D7AD0"/>
    <w:rsid w:val="008E1C98"/>
    <w:rsid w:val="008E2157"/>
    <w:rsid w:val="008E260E"/>
    <w:rsid w:val="008E2658"/>
    <w:rsid w:val="008E2D85"/>
    <w:rsid w:val="008E4138"/>
    <w:rsid w:val="008E45D5"/>
    <w:rsid w:val="008E4808"/>
    <w:rsid w:val="008E484C"/>
    <w:rsid w:val="008E48F8"/>
    <w:rsid w:val="008E49D4"/>
    <w:rsid w:val="008E4D61"/>
    <w:rsid w:val="008E543A"/>
    <w:rsid w:val="008E561A"/>
    <w:rsid w:val="008E5B4A"/>
    <w:rsid w:val="008E635F"/>
    <w:rsid w:val="008E7146"/>
    <w:rsid w:val="008E7BBA"/>
    <w:rsid w:val="008E7E9D"/>
    <w:rsid w:val="008F073F"/>
    <w:rsid w:val="008F0C43"/>
    <w:rsid w:val="008F0E14"/>
    <w:rsid w:val="008F0F00"/>
    <w:rsid w:val="008F0F81"/>
    <w:rsid w:val="008F1C44"/>
    <w:rsid w:val="008F2D3C"/>
    <w:rsid w:val="008F3473"/>
    <w:rsid w:val="008F3502"/>
    <w:rsid w:val="008F35C3"/>
    <w:rsid w:val="008F3DF6"/>
    <w:rsid w:val="008F3F6F"/>
    <w:rsid w:val="008F3FFE"/>
    <w:rsid w:val="008F4203"/>
    <w:rsid w:val="008F4210"/>
    <w:rsid w:val="008F4665"/>
    <w:rsid w:val="008F4EEC"/>
    <w:rsid w:val="008F5161"/>
    <w:rsid w:val="008F52C4"/>
    <w:rsid w:val="008F5317"/>
    <w:rsid w:val="008F55B9"/>
    <w:rsid w:val="008F5766"/>
    <w:rsid w:val="008F5E0D"/>
    <w:rsid w:val="008F6270"/>
    <w:rsid w:val="008F6F16"/>
    <w:rsid w:val="008F7809"/>
    <w:rsid w:val="008F7EAC"/>
    <w:rsid w:val="009001A6"/>
    <w:rsid w:val="0090026F"/>
    <w:rsid w:val="00900586"/>
    <w:rsid w:val="009009A0"/>
    <w:rsid w:val="009009AB"/>
    <w:rsid w:val="00900A24"/>
    <w:rsid w:val="00900C5D"/>
    <w:rsid w:val="009014BD"/>
    <w:rsid w:val="0090169D"/>
    <w:rsid w:val="009024E4"/>
    <w:rsid w:val="0090251B"/>
    <w:rsid w:val="00902CD3"/>
    <w:rsid w:val="009036A1"/>
    <w:rsid w:val="009042E2"/>
    <w:rsid w:val="009047C4"/>
    <w:rsid w:val="00904957"/>
    <w:rsid w:val="00904C78"/>
    <w:rsid w:val="00904CFC"/>
    <w:rsid w:val="009058E1"/>
    <w:rsid w:val="00905902"/>
    <w:rsid w:val="00906F09"/>
    <w:rsid w:val="009102D9"/>
    <w:rsid w:val="00910361"/>
    <w:rsid w:val="00910AB4"/>
    <w:rsid w:val="00911176"/>
    <w:rsid w:val="00911414"/>
    <w:rsid w:val="009114D4"/>
    <w:rsid w:val="00911FB6"/>
    <w:rsid w:val="0091278D"/>
    <w:rsid w:val="00912BD3"/>
    <w:rsid w:val="00913361"/>
    <w:rsid w:val="009135FE"/>
    <w:rsid w:val="0091373E"/>
    <w:rsid w:val="009138EB"/>
    <w:rsid w:val="009141CF"/>
    <w:rsid w:val="0091481D"/>
    <w:rsid w:val="00914F44"/>
    <w:rsid w:val="00915D64"/>
    <w:rsid w:val="00916453"/>
    <w:rsid w:val="009165A3"/>
    <w:rsid w:val="00916887"/>
    <w:rsid w:val="009168CE"/>
    <w:rsid w:val="0091764C"/>
    <w:rsid w:val="00917692"/>
    <w:rsid w:val="00917B80"/>
    <w:rsid w:val="00917DF1"/>
    <w:rsid w:val="00920A7B"/>
    <w:rsid w:val="00920B1A"/>
    <w:rsid w:val="00920C25"/>
    <w:rsid w:val="00922A43"/>
    <w:rsid w:val="00923862"/>
    <w:rsid w:val="0092399E"/>
    <w:rsid w:val="009246F2"/>
    <w:rsid w:val="00924E7F"/>
    <w:rsid w:val="00924F45"/>
    <w:rsid w:val="009252C4"/>
    <w:rsid w:val="00925CCC"/>
    <w:rsid w:val="00925E75"/>
    <w:rsid w:val="009262B9"/>
    <w:rsid w:val="00927393"/>
    <w:rsid w:val="009279DD"/>
    <w:rsid w:val="00927A2C"/>
    <w:rsid w:val="00927CCE"/>
    <w:rsid w:val="00927D32"/>
    <w:rsid w:val="00930883"/>
    <w:rsid w:val="009308AE"/>
    <w:rsid w:val="00930E73"/>
    <w:rsid w:val="00931662"/>
    <w:rsid w:val="00931AD0"/>
    <w:rsid w:val="00931BA1"/>
    <w:rsid w:val="00931D94"/>
    <w:rsid w:val="00932A36"/>
    <w:rsid w:val="009342F7"/>
    <w:rsid w:val="009349C9"/>
    <w:rsid w:val="009349D8"/>
    <w:rsid w:val="00935222"/>
    <w:rsid w:val="00935287"/>
    <w:rsid w:val="009352D6"/>
    <w:rsid w:val="0093539C"/>
    <w:rsid w:val="00935702"/>
    <w:rsid w:val="0093587F"/>
    <w:rsid w:val="009367BB"/>
    <w:rsid w:val="00936E3A"/>
    <w:rsid w:val="00937728"/>
    <w:rsid w:val="00937A69"/>
    <w:rsid w:val="00940378"/>
    <w:rsid w:val="009408E2"/>
    <w:rsid w:val="00940929"/>
    <w:rsid w:val="00940F7C"/>
    <w:rsid w:val="0094139C"/>
    <w:rsid w:val="00941525"/>
    <w:rsid w:val="00942213"/>
    <w:rsid w:val="00942418"/>
    <w:rsid w:val="009424D1"/>
    <w:rsid w:val="009437B7"/>
    <w:rsid w:val="00943C0A"/>
    <w:rsid w:val="00943FB3"/>
    <w:rsid w:val="0094405C"/>
    <w:rsid w:val="00945232"/>
    <w:rsid w:val="00945529"/>
    <w:rsid w:val="00945DEC"/>
    <w:rsid w:val="00946A6B"/>
    <w:rsid w:val="00946C25"/>
    <w:rsid w:val="00946CB7"/>
    <w:rsid w:val="00946E02"/>
    <w:rsid w:val="009476E9"/>
    <w:rsid w:val="009477C4"/>
    <w:rsid w:val="00947C61"/>
    <w:rsid w:val="0095007D"/>
    <w:rsid w:val="009506F4"/>
    <w:rsid w:val="009510C3"/>
    <w:rsid w:val="0095126E"/>
    <w:rsid w:val="009513E4"/>
    <w:rsid w:val="009517B0"/>
    <w:rsid w:val="0095271D"/>
    <w:rsid w:val="00952BAF"/>
    <w:rsid w:val="0095399B"/>
    <w:rsid w:val="00953CD6"/>
    <w:rsid w:val="009542E9"/>
    <w:rsid w:val="00954AFA"/>
    <w:rsid w:val="00954B55"/>
    <w:rsid w:val="00955207"/>
    <w:rsid w:val="00955CF2"/>
    <w:rsid w:val="00955EE0"/>
    <w:rsid w:val="0095615D"/>
    <w:rsid w:val="00956400"/>
    <w:rsid w:val="009566B6"/>
    <w:rsid w:val="00956718"/>
    <w:rsid w:val="00956CA7"/>
    <w:rsid w:val="00956EF1"/>
    <w:rsid w:val="009613CB"/>
    <w:rsid w:val="00961554"/>
    <w:rsid w:val="00961BAE"/>
    <w:rsid w:val="00962742"/>
    <w:rsid w:val="00962C53"/>
    <w:rsid w:val="00963365"/>
    <w:rsid w:val="00963DFA"/>
    <w:rsid w:val="00963E66"/>
    <w:rsid w:val="009640C7"/>
    <w:rsid w:val="0096427F"/>
    <w:rsid w:val="00964E8F"/>
    <w:rsid w:val="00964EBC"/>
    <w:rsid w:val="009661F5"/>
    <w:rsid w:val="00966670"/>
    <w:rsid w:val="00966720"/>
    <w:rsid w:val="00966ADD"/>
    <w:rsid w:val="00966BF9"/>
    <w:rsid w:val="00967969"/>
    <w:rsid w:val="00970104"/>
    <w:rsid w:val="00970351"/>
    <w:rsid w:val="00970893"/>
    <w:rsid w:val="00970D4B"/>
    <w:rsid w:val="00971E4C"/>
    <w:rsid w:val="00971F92"/>
    <w:rsid w:val="00972041"/>
    <w:rsid w:val="00972785"/>
    <w:rsid w:val="00972A33"/>
    <w:rsid w:val="0097317C"/>
    <w:rsid w:val="009733CA"/>
    <w:rsid w:val="009736C6"/>
    <w:rsid w:val="00973FE8"/>
    <w:rsid w:val="009746F6"/>
    <w:rsid w:val="00975208"/>
    <w:rsid w:val="0097584D"/>
    <w:rsid w:val="00975D7E"/>
    <w:rsid w:val="009763CF"/>
    <w:rsid w:val="009768D2"/>
    <w:rsid w:val="00976A89"/>
    <w:rsid w:val="00977694"/>
    <w:rsid w:val="0098012D"/>
    <w:rsid w:val="009810A2"/>
    <w:rsid w:val="009820C2"/>
    <w:rsid w:val="00982ABB"/>
    <w:rsid w:val="00982C03"/>
    <w:rsid w:val="00982D24"/>
    <w:rsid w:val="00983232"/>
    <w:rsid w:val="009833CE"/>
    <w:rsid w:val="00983413"/>
    <w:rsid w:val="00983699"/>
    <w:rsid w:val="00983989"/>
    <w:rsid w:val="00983AEE"/>
    <w:rsid w:val="00984027"/>
    <w:rsid w:val="00984935"/>
    <w:rsid w:val="00984B77"/>
    <w:rsid w:val="0098523B"/>
    <w:rsid w:val="00985373"/>
    <w:rsid w:val="00985CEE"/>
    <w:rsid w:val="00985E08"/>
    <w:rsid w:val="0098684D"/>
    <w:rsid w:val="00986D50"/>
    <w:rsid w:val="00987017"/>
    <w:rsid w:val="00987574"/>
    <w:rsid w:val="00987B78"/>
    <w:rsid w:val="00987FFC"/>
    <w:rsid w:val="009909B8"/>
    <w:rsid w:val="0099119C"/>
    <w:rsid w:val="0099123C"/>
    <w:rsid w:val="0099194A"/>
    <w:rsid w:val="00991D09"/>
    <w:rsid w:val="00993DF2"/>
    <w:rsid w:val="00994037"/>
    <w:rsid w:val="00994AA9"/>
    <w:rsid w:val="009950EE"/>
    <w:rsid w:val="0099535B"/>
    <w:rsid w:val="0099576D"/>
    <w:rsid w:val="00995E9E"/>
    <w:rsid w:val="00996379"/>
    <w:rsid w:val="009963D4"/>
    <w:rsid w:val="009964D2"/>
    <w:rsid w:val="00996FB5"/>
    <w:rsid w:val="00997F4B"/>
    <w:rsid w:val="009A0E58"/>
    <w:rsid w:val="009A1209"/>
    <w:rsid w:val="009A19F0"/>
    <w:rsid w:val="009A20DF"/>
    <w:rsid w:val="009A25D7"/>
    <w:rsid w:val="009A2708"/>
    <w:rsid w:val="009A30C0"/>
    <w:rsid w:val="009A3293"/>
    <w:rsid w:val="009A33A0"/>
    <w:rsid w:val="009A3543"/>
    <w:rsid w:val="009A3CC3"/>
    <w:rsid w:val="009A3E15"/>
    <w:rsid w:val="009A4781"/>
    <w:rsid w:val="009A4784"/>
    <w:rsid w:val="009A5690"/>
    <w:rsid w:val="009A5812"/>
    <w:rsid w:val="009A58A1"/>
    <w:rsid w:val="009A603B"/>
    <w:rsid w:val="009A6DC5"/>
    <w:rsid w:val="009B0733"/>
    <w:rsid w:val="009B0A83"/>
    <w:rsid w:val="009B0D1C"/>
    <w:rsid w:val="009B1369"/>
    <w:rsid w:val="009B143B"/>
    <w:rsid w:val="009B21C3"/>
    <w:rsid w:val="009B22BB"/>
    <w:rsid w:val="009B33AB"/>
    <w:rsid w:val="009B40EF"/>
    <w:rsid w:val="009B4225"/>
    <w:rsid w:val="009B42D5"/>
    <w:rsid w:val="009B4BCE"/>
    <w:rsid w:val="009B4D7F"/>
    <w:rsid w:val="009B4F61"/>
    <w:rsid w:val="009B62B3"/>
    <w:rsid w:val="009B62CF"/>
    <w:rsid w:val="009B652C"/>
    <w:rsid w:val="009B6E7D"/>
    <w:rsid w:val="009B6FC7"/>
    <w:rsid w:val="009B7766"/>
    <w:rsid w:val="009B7795"/>
    <w:rsid w:val="009C0044"/>
    <w:rsid w:val="009C05CE"/>
    <w:rsid w:val="009C06B1"/>
    <w:rsid w:val="009C08EC"/>
    <w:rsid w:val="009C0F1E"/>
    <w:rsid w:val="009C119F"/>
    <w:rsid w:val="009C13AE"/>
    <w:rsid w:val="009C1585"/>
    <w:rsid w:val="009C1A9B"/>
    <w:rsid w:val="009C1C2D"/>
    <w:rsid w:val="009C2276"/>
    <w:rsid w:val="009C2A82"/>
    <w:rsid w:val="009C2D7D"/>
    <w:rsid w:val="009C35AE"/>
    <w:rsid w:val="009C35F4"/>
    <w:rsid w:val="009C379F"/>
    <w:rsid w:val="009C3F03"/>
    <w:rsid w:val="009C43FA"/>
    <w:rsid w:val="009C4591"/>
    <w:rsid w:val="009C4FC1"/>
    <w:rsid w:val="009C52E8"/>
    <w:rsid w:val="009C588F"/>
    <w:rsid w:val="009C5AD0"/>
    <w:rsid w:val="009C5B91"/>
    <w:rsid w:val="009C5E6D"/>
    <w:rsid w:val="009C5FBF"/>
    <w:rsid w:val="009C606F"/>
    <w:rsid w:val="009C64DF"/>
    <w:rsid w:val="009C6B98"/>
    <w:rsid w:val="009C7025"/>
    <w:rsid w:val="009C706F"/>
    <w:rsid w:val="009C7241"/>
    <w:rsid w:val="009C748E"/>
    <w:rsid w:val="009C781C"/>
    <w:rsid w:val="009C7A66"/>
    <w:rsid w:val="009C7F28"/>
    <w:rsid w:val="009D055D"/>
    <w:rsid w:val="009D0946"/>
    <w:rsid w:val="009D14D2"/>
    <w:rsid w:val="009D19F5"/>
    <w:rsid w:val="009D1E7F"/>
    <w:rsid w:val="009D25EF"/>
    <w:rsid w:val="009D41BC"/>
    <w:rsid w:val="009D4E54"/>
    <w:rsid w:val="009D568F"/>
    <w:rsid w:val="009D58D0"/>
    <w:rsid w:val="009D5C77"/>
    <w:rsid w:val="009D611A"/>
    <w:rsid w:val="009D7355"/>
    <w:rsid w:val="009D7499"/>
    <w:rsid w:val="009D7A36"/>
    <w:rsid w:val="009D7BE5"/>
    <w:rsid w:val="009E0206"/>
    <w:rsid w:val="009E0218"/>
    <w:rsid w:val="009E0542"/>
    <w:rsid w:val="009E09F7"/>
    <w:rsid w:val="009E1918"/>
    <w:rsid w:val="009E1CBE"/>
    <w:rsid w:val="009E1EFE"/>
    <w:rsid w:val="009E270A"/>
    <w:rsid w:val="009E277F"/>
    <w:rsid w:val="009E3A53"/>
    <w:rsid w:val="009E465C"/>
    <w:rsid w:val="009E48A6"/>
    <w:rsid w:val="009E4944"/>
    <w:rsid w:val="009E5419"/>
    <w:rsid w:val="009E5913"/>
    <w:rsid w:val="009E5F4A"/>
    <w:rsid w:val="009E6051"/>
    <w:rsid w:val="009E6193"/>
    <w:rsid w:val="009E6236"/>
    <w:rsid w:val="009E6D4C"/>
    <w:rsid w:val="009E781D"/>
    <w:rsid w:val="009F0D50"/>
    <w:rsid w:val="009F0E2E"/>
    <w:rsid w:val="009F0F9A"/>
    <w:rsid w:val="009F173C"/>
    <w:rsid w:val="009F17C0"/>
    <w:rsid w:val="009F1CA8"/>
    <w:rsid w:val="009F1FEA"/>
    <w:rsid w:val="009F280C"/>
    <w:rsid w:val="009F3551"/>
    <w:rsid w:val="009F37AE"/>
    <w:rsid w:val="009F42F8"/>
    <w:rsid w:val="009F450E"/>
    <w:rsid w:val="009F47C9"/>
    <w:rsid w:val="009F62E5"/>
    <w:rsid w:val="009F69BD"/>
    <w:rsid w:val="009F73B3"/>
    <w:rsid w:val="009F75ED"/>
    <w:rsid w:val="009F76B1"/>
    <w:rsid w:val="00A0070D"/>
    <w:rsid w:val="00A00784"/>
    <w:rsid w:val="00A009B1"/>
    <w:rsid w:val="00A00BF3"/>
    <w:rsid w:val="00A00C73"/>
    <w:rsid w:val="00A00EAF"/>
    <w:rsid w:val="00A01818"/>
    <w:rsid w:val="00A01ADB"/>
    <w:rsid w:val="00A01AEC"/>
    <w:rsid w:val="00A01D82"/>
    <w:rsid w:val="00A01FAF"/>
    <w:rsid w:val="00A024EB"/>
    <w:rsid w:val="00A03194"/>
    <w:rsid w:val="00A0415E"/>
    <w:rsid w:val="00A047A3"/>
    <w:rsid w:val="00A049C2"/>
    <w:rsid w:val="00A04B9B"/>
    <w:rsid w:val="00A04F6E"/>
    <w:rsid w:val="00A052F8"/>
    <w:rsid w:val="00A054D0"/>
    <w:rsid w:val="00A05C74"/>
    <w:rsid w:val="00A064C6"/>
    <w:rsid w:val="00A066FE"/>
    <w:rsid w:val="00A0720B"/>
    <w:rsid w:val="00A072CC"/>
    <w:rsid w:val="00A076B8"/>
    <w:rsid w:val="00A07827"/>
    <w:rsid w:val="00A1014A"/>
    <w:rsid w:val="00A10642"/>
    <w:rsid w:val="00A1083A"/>
    <w:rsid w:val="00A115AB"/>
    <w:rsid w:val="00A123BD"/>
    <w:rsid w:val="00A125CD"/>
    <w:rsid w:val="00A12620"/>
    <w:rsid w:val="00A12FBF"/>
    <w:rsid w:val="00A13042"/>
    <w:rsid w:val="00A14001"/>
    <w:rsid w:val="00A14BE8"/>
    <w:rsid w:val="00A14C6A"/>
    <w:rsid w:val="00A14E12"/>
    <w:rsid w:val="00A14E8C"/>
    <w:rsid w:val="00A14EC4"/>
    <w:rsid w:val="00A15221"/>
    <w:rsid w:val="00A15243"/>
    <w:rsid w:val="00A1577F"/>
    <w:rsid w:val="00A16186"/>
    <w:rsid w:val="00A1646B"/>
    <w:rsid w:val="00A169DF"/>
    <w:rsid w:val="00A16E41"/>
    <w:rsid w:val="00A16E7F"/>
    <w:rsid w:val="00A16EE6"/>
    <w:rsid w:val="00A173E6"/>
    <w:rsid w:val="00A17A71"/>
    <w:rsid w:val="00A2089D"/>
    <w:rsid w:val="00A20A3B"/>
    <w:rsid w:val="00A215DD"/>
    <w:rsid w:val="00A217A4"/>
    <w:rsid w:val="00A21909"/>
    <w:rsid w:val="00A21A00"/>
    <w:rsid w:val="00A21C51"/>
    <w:rsid w:val="00A21E39"/>
    <w:rsid w:val="00A22050"/>
    <w:rsid w:val="00A232B6"/>
    <w:rsid w:val="00A23713"/>
    <w:rsid w:val="00A23769"/>
    <w:rsid w:val="00A238F9"/>
    <w:rsid w:val="00A24787"/>
    <w:rsid w:val="00A2487C"/>
    <w:rsid w:val="00A24916"/>
    <w:rsid w:val="00A24FAA"/>
    <w:rsid w:val="00A252B7"/>
    <w:rsid w:val="00A252C0"/>
    <w:rsid w:val="00A2543F"/>
    <w:rsid w:val="00A257A8"/>
    <w:rsid w:val="00A25B25"/>
    <w:rsid w:val="00A25E50"/>
    <w:rsid w:val="00A260D6"/>
    <w:rsid w:val="00A262BE"/>
    <w:rsid w:val="00A268E3"/>
    <w:rsid w:val="00A26BB8"/>
    <w:rsid w:val="00A275EA"/>
    <w:rsid w:val="00A27EAD"/>
    <w:rsid w:val="00A31344"/>
    <w:rsid w:val="00A3136A"/>
    <w:rsid w:val="00A313A4"/>
    <w:rsid w:val="00A31C08"/>
    <w:rsid w:val="00A31E4B"/>
    <w:rsid w:val="00A320A6"/>
    <w:rsid w:val="00A32787"/>
    <w:rsid w:val="00A33C24"/>
    <w:rsid w:val="00A33DC0"/>
    <w:rsid w:val="00A343B2"/>
    <w:rsid w:val="00A34680"/>
    <w:rsid w:val="00A357F5"/>
    <w:rsid w:val="00A36BA1"/>
    <w:rsid w:val="00A3736E"/>
    <w:rsid w:val="00A37A85"/>
    <w:rsid w:val="00A37A86"/>
    <w:rsid w:val="00A40072"/>
    <w:rsid w:val="00A40463"/>
    <w:rsid w:val="00A4061D"/>
    <w:rsid w:val="00A406D4"/>
    <w:rsid w:val="00A40B9B"/>
    <w:rsid w:val="00A41376"/>
    <w:rsid w:val="00A416BC"/>
    <w:rsid w:val="00A41932"/>
    <w:rsid w:val="00A41A84"/>
    <w:rsid w:val="00A41F32"/>
    <w:rsid w:val="00A42C53"/>
    <w:rsid w:val="00A42E3A"/>
    <w:rsid w:val="00A4351C"/>
    <w:rsid w:val="00A44A59"/>
    <w:rsid w:val="00A45A89"/>
    <w:rsid w:val="00A45B8C"/>
    <w:rsid w:val="00A46048"/>
    <w:rsid w:val="00A466DF"/>
    <w:rsid w:val="00A4732F"/>
    <w:rsid w:val="00A4752A"/>
    <w:rsid w:val="00A4753E"/>
    <w:rsid w:val="00A47548"/>
    <w:rsid w:val="00A4772E"/>
    <w:rsid w:val="00A5062B"/>
    <w:rsid w:val="00A5090C"/>
    <w:rsid w:val="00A50954"/>
    <w:rsid w:val="00A50D0C"/>
    <w:rsid w:val="00A51621"/>
    <w:rsid w:val="00A518E3"/>
    <w:rsid w:val="00A51B7F"/>
    <w:rsid w:val="00A524D7"/>
    <w:rsid w:val="00A54913"/>
    <w:rsid w:val="00A55733"/>
    <w:rsid w:val="00A55B9A"/>
    <w:rsid w:val="00A56495"/>
    <w:rsid w:val="00A57003"/>
    <w:rsid w:val="00A60C8A"/>
    <w:rsid w:val="00A61010"/>
    <w:rsid w:val="00A617A9"/>
    <w:rsid w:val="00A620ED"/>
    <w:rsid w:val="00A62544"/>
    <w:rsid w:val="00A63781"/>
    <w:rsid w:val="00A63CD9"/>
    <w:rsid w:val="00A64181"/>
    <w:rsid w:val="00A64629"/>
    <w:rsid w:val="00A646D5"/>
    <w:rsid w:val="00A64824"/>
    <w:rsid w:val="00A6540D"/>
    <w:rsid w:val="00A662D0"/>
    <w:rsid w:val="00A66F42"/>
    <w:rsid w:val="00A66FCB"/>
    <w:rsid w:val="00A672D1"/>
    <w:rsid w:val="00A67D67"/>
    <w:rsid w:val="00A67FBE"/>
    <w:rsid w:val="00A70CED"/>
    <w:rsid w:val="00A7129A"/>
    <w:rsid w:val="00A71C08"/>
    <w:rsid w:val="00A722FF"/>
    <w:rsid w:val="00A72425"/>
    <w:rsid w:val="00A72BC8"/>
    <w:rsid w:val="00A73B00"/>
    <w:rsid w:val="00A749B5"/>
    <w:rsid w:val="00A749DF"/>
    <w:rsid w:val="00A74F08"/>
    <w:rsid w:val="00A754FD"/>
    <w:rsid w:val="00A75864"/>
    <w:rsid w:val="00A758E8"/>
    <w:rsid w:val="00A75B05"/>
    <w:rsid w:val="00A75D67"/>
    <w:rsid w:val="00A75F53"/>
    <w:rsid w:val="00A760BE"/>
    <w:rsid w:val="00A76646"/>
    <w:rsid w:val="00A76E38"/>
    <w:rsid w:val="00A80056"/>
    <w:rsid w:val="00A80450"/>
    <w:rsid w:val="00A8110F"/>
    <w:rsid w:val="00A8122B"/>
    <w:rsid w:val="00A824F1"/>
    <w:rsid w:val="00A82DCD"/>
    <w:rsid w:val="00A8305D"/>
    <w:rsid w:val="00A83127"/>
    <w:rsid w:val="00A8351F"/>
    <w:rsid w:val="00A836C4"/>
    <w:rsid w:val="00A83ADB"/>
    <w:rsid w:val="00A83B0C"/>
    <w:rsid w:val="00A84030"/>
    <w:rsid w:val="00A84084"/>
    <w:rsid w:val="00A84111"/>
    <w:rsid w:val="00A841A1"/>
    <w:rsid w:val="00A844B1"/>
    <w:rsid w:val="00A84D4B"/>
    <w:rsid w:val="00A84E15"/>
    <w:rsid w:val="00A8542F"/>
    <w:rsid w:val="00A8549A"/>
    <w:rsid w:val="00A85A9A"/>
    <w:rsid w:val="00A85EA8"/>
    <w:rsid w:val="00A863E1"/>
    <w:rsid w:val="00A8693E"/>
    <w:rsid w:val="00A87193"/>
    <w:rsid w:val="00A90068"/>
    <w:rsid w:val="00A918F0"/>
    <w:rsid w:val="00A918F4"/>
    <w:rsid w:val="00A91E79"/>
    <w:rsid w:val="00A929BE"/>
    <w:rsid w:val="00A92ED3"/>
    <w:rsid w:val="00A93587"/>
    <w:rsid w:val="00A937ED"/>
    <w:rsid w:val="00A940C3"/>
    <w:rsid w:val="00A942D5"/>
    <w:rsid w:val="00A9470C"/>
    <w:rsid w:val="00A94C36"/>
    <w:rsid w:val="00A94FA0"/>
    <w:rsid w:val="00A950F5"/>
    <w:rsid w:val="00A95124"/>
    <w:rsid w:val="00A956FE"/>
    <w:rsid w:val="00A967BE"/>
    <w:rsid w:val="00A967F7"/>
    <w:rsid w:val="00A9696A"/>
    <w:rsid w:val="00A96A6B"/>
    <w:rsid w:val="00A96D2A"/>
    <w:rsid w:val="00A97552"/>
    <w:rsid w:val="00A976A3"/>
    <w:rsid w:val="00A97732"/>
    <w:rsid w:val="00A97BD6"/>
    <w:rsid w:val="00A97E74"/>
    <w:rsid w:val="00AA0297"/>
    <w:rsid w:val="00AA0693"/>
    <w:rsid w:val="00AA0741"/>
    <w:rsid w:val="00AA074D"/>
    <w:rsid w:val="00AA091E"/>
    <w:rsid w:val="00AA0990"/>
    <w:rsid w:val="00AA125F"/>
    <w:rsid w:val="00AA142F"/>
    <w:rsid w:val="00AA1949"/>
    <w:rsid w:val="00AA1FE1"/>
    <w:rsid w:val="00AA20F2"/>
    <w:rsid w:val="00AA2B93"/>
    <w:rsid w:val="00AA309C"/>
    <w:rsid w:val="00AA3476"/>
    <w:rsid w:val="00AA3D81"/>
    <w:rsid w:val="00AA41A7"/>
    <w:rsid w:val="00AA4590"/>
    <w:rsid w:val="00AA4850"/>
    <w:rsid w:val="00AA49D1"/>
    <w:rsid w:val="00AA4D5D"/>
    <w:rsid w:val="00AA5378"/>
    <w:rsid w:val="00AA539D"/>
    <w:rsid w:val="00AA564C"/>
    <w:rsid w:val="00AA5C55"/>
    <w:rsid w:val="00AA5E73"/>
    <w:rsid w:val="00AA5F1C"/>
    <w:rsid w:val="00AA5FF1"/>
    <w:rsid w:val="00AA6F67"/>
    <w:rsid w:val="00AA7461"/>
    <w:rsid w:val="00AB05EC"/>
    <w:rsid w:val="00AB0B54"/>
    <w:rsid w:val="00AB0FE6"/>
    <w:rsid w:val="00AB12C9"/>
    <w:rsid w:val="00AB1821"/>
    <w:rsid w:val="00AB1F50"/>
    <w:rsid w:val="00AB22BD"/>
    <w:rsid w:val="00AB23B9"/>
    <w:rsid w:val="00AB2768"/>
    <w:rsid w:val="00AB2822"/>
    <w:rsid w:val="00AB2EB9"/>
    <w:rsid w:val="00AB35D2"/>
    <w:rsid w:val="00AB3C82"/>
    <w:rsid w:val="00AB3D05"/>
    <w:rsid w:val="00AB3EA4"/>
    <w:rsid w:val="00AB3FA1"/>
    <w:rsid w:val="00AB4A87"/>
    <w:rsid w:val="00AB4E27"/>
    <w:rsid w:val="00AB52BE"/>
    <w:rsid w:val="00AB58D6"/>
    <w:rsid w:val="00AB5D52"/>
    <w:rsid w:val="00AB5DBD"/>
    <w:rsid w:val="00AB61D3"/>
    <w:rsid w:val="00AB6430"/>
    <w:rsid w:val="00AB6A07"/>
    <w:rsid w:val="00AB6A45"/>
    <w:rsid w:val="00AB6E3C"/>
    <w:rsid w:val="00AB713E"/>
    <w:rsid w:val="00AB71F5"/>
    <w:rsid w:val="00AB7AF5"/>
    <w:rsid w:val="00AC134F"/>
    <w:rsid w:val="00AC2C15"/>
    <w:rsid w:val="00AC2C46"/>
    <w:rsid w:val="00AC2D2A"/>
    <w:rsid w:val="00AC3172"/>
    <w:rsid w:val="00AC37C3"/>
    <w:rsid w:val="00AC4303"/>
    <w:rsid w:val="00AC4A5D"/>
    <w:rsid w:val="00AC4BD1"/>
    <w:rsid w:val="00AC5A1D"/>
    <w:rsid w:val="00AC5AE8"/>
    <w:rsid w:val="00AC5D3F"/>
    <w:rsid w:val="00AC611B"/>
    <w:rsid w:val="00AC635D"/>
    <w:rsid w:val="00AC66D1"/>
    <w:rsid w:val="00AC6D4E"/>
    <w:rsid w:val="00AC6F0C"/>
    <w:rsid w:val="00AC7317"/>
    <w:rsid w:val="00AC76E7"/>
    <w:rsid w:val="00AC7BC3"/>
    <w:rsid w:val="00AC7CAB"/>
    <w:rsid w:val="00AC7FB3"/>
    <w:rsid w:val="00AD014A"/>
    <w:rsid w:val="00AD0160"/>
    <w:rsid w:val="00AD0242"/>
    <w:rsid w:val="00AD0730"/>
    <w:rsid w:val="00AD1188"/>
    <w:rsid w:val="00AD13A5"/>
    <w:rsid w:val="00AD13E6"/>
    <w:rsid w:val="00AD181A"/>
    <w:rsid w:val="00AD2BD3"/>
    <w:rsid w:val="00AD3C54"/>
    <w:rsid w:val="00AD3F58"/>
    <w:rsid w:val="00AD42DA"/>
    <w:rsid w:val="00AD44D6"/>
    <w:rsid w:val="00AD4F6E"/>
    <w:rsid w:val="00AD4FDC"/>
    <w:rsid w:val="00AD5065"/>
    <w:rsid w:val="00AD6239"/>
    <w:rsid w:val="00AD6681"/>
    <w:rsid w:val="00AD6730"/>
    <w:rsid w:val="00AD762B"/>
    <w:rsid w:val="00AD785E"/>
    <w:rsid w:val="00AD7C83"/>
    <w:rsid w:val="00AE02E3"/>
    <w:rsid w:val="00AE11E5"/>
    <w:rsid w:val="00AE15CA"/>
    <w:rsid w:val="00AE17AC"/>
    <w:rsid w:val="00AE180D"/>
    <w:rsid w:val="00AE1FA1"/>
    <w:rsid w:val="00AE298F"/>
    <w:rsid w:val="00AE2A4B"/>
    <w:rsid w:val="00AE2B82"/>
    <w:rsid w:val="00AE2E0B"/>
    <w:rsid w:val="00AE33F0"/>
    <w:rsid w:val="00AE386B"/>
    <w:rsid w:val="00AE41DC"/>
    <w:rsid w:val="00AE48A5"/>
    <w:rsid w:val="00AE4F73"/>
    <w:rsid w:val="00AE4F75"/>
    <w:rsid w:val="00AE54BC"/>
    <w:rsid w:val="00AE5AF9"/>
    <w:rsid w:val="00AE6647"/>
    <w:rsid w:val="00AE7150"/>
    <w:rsid w:val="00AE73B7"/>
    <w:rsid w:val="00AF0328"/>
    <w:rsid w:val="00AF09F3"/>
    <w:rsid w:val="00AF0C95"/>
    <w:rsid w:val="00AF0E2C"/>
    <w:rsid w:val="00AF1A5A"/>
    <w:rsid w:val="00AF232F"/>
    <w:rsid w:val="00AF2700"/>
    <w:rsid w:val="00AF2BEC"/>
    <w:rsid w:val="00AF2DE6"/>
    <w:rsid w:val="00AF2F10"/>
    <w:rsid w:val="00AF48E4"/>
    <w:rsid w:val="00AF4B21"/>
    <w:rsid w:val="00AF516A"/>
    <w:rsid w:val="00AF51EA"/>
    <w:rsid w:val="00AF5DC2"/>
    <w:rsid w:val="00AF6E6D"/>
    <w:rsid w:val="00AF7C85"/>
    <w:rsid w:val="00B00197"/>
    <w:rsid w:val="00B00764"/>
    <w:rsid w:val="00B015AA"/>
    <w:rsid w:val="00B015BD"/>
    <w:rsid w:val="00B01632"/>
    <w:rsid w:val="00B01AE6"/>
    <w:rsid w:val="00B01E4E"/>
    <w:rsid w:val="00B02178"/>
    <w:rsid w:val="00B0269F"/>
    <w:rsid w:val="00B0281E"/>
    <w:rsid w:val="00B02E7F"/>
    <w:rsid w:val="00B02F67"/>
    <w:rsid w:val="00B03333"/>
    <w:rsid w:val="00B03BDB"/>
    <w:rsid w:val="00B04CC1"/>
    <w:rsid w:val="00B04DA6"/>
    <w:rsid w:val="00B051CB"/>
    <w:rsid w:val="00B0528A"/>
    <w:rsid w:val="00B0556E"/>
    <w:rsid w:val="00B05AFD"/>
    <w:rsid w:val="00B05CDD"/>
    <w:rsid w:val="00B05E1F"/>
    <w:rsid w:val="00B06031"/>
    <w:rsid w:val="00B074F8"/>
    <w:rsid w:val="00B07967"/>
    <w:rsid w:val="00B100E8"/>
    <w:rsid w:val="00B109D6"/>
    <w:rsid w:val="00B10C96"/>
    <w:rsid w:val="00B11481"/>
    <w:rsid w:val="00B1153F"/>
    <w:rsid w:val="00B115B7"/>
    <w:rsid w:val="00B1176C"/>
    <w:rsid w:val="00B11A41"/>
    <w:rsid w:val="00B121F9"/>
    <w:rsid w:val="00B12357"/>
    <w:rsid w:val="00B129DB"/>
    <w:rsid w:val="00B12C66"/>
    <w:rsid w:val="00B134A9"/>
    <w:rsid w:val="00B13638"/>
    <w:rsid w:val="00B14026"/>
    <w:rsid w:val="00B14EA8"/>
    <w:rsid w:val="00B151F5"/>
    <w:rsid w:val="00B154A1"/>
    <w:rsid w:val="00B15589"/>
    <w:rsid w:val="00B15C50"/>
    <w:rsid w:val="00B15CE4"/>
    <w:rsid w:val="00B15F8D"/>
    <w:rsid w:val="00B163CF"/>
    <w:rsid w:val="00B16511"/>
    <w:rsid w:val="00B16B1B"/>
    <w:rsid w:val="00B16C65"/>
    <w:rsid w:val="00B16F7B"/>
    <w:rsid w:val="00B172F4"/>
    <w:rsid w:val="00B2185D"/>
    <w:rsid w:val="00B21C31"/>
    <w:rsid w:val="00B2231F"/>
    <w:rsid w:val="00B229D7"/>
    <w:rsid w:val="00B22F4A"/>
    <w:rsid w:val="00B232F7"/>
    <w:rsid w:val="00B2341A"/>
    <w:rsid w:val="00B239E5"/>
    <w:rsid w:val="00B23EE3"/>
    <w:rsid w:val="00B240C7"/>
    <w:rsid w:val="00B2419F"/>
    <w:rsid w:val="00B24B08"/>
    <w:rsid w:val="00B24F8C"/>
    <w:rsid w:val="00B24FC0"/>
    <w:rsid w:val="00B253B3"/>
    <w:rsid w:val="00B25934"/>
    <w:rsid w:val="00B25952"/>
    <w:rsid w:val="00B259CA"/>
    <w:rsid w:val="00B26AF0"/>
    <w:rsid w:val="00B26BAB"/>
    <w:rsid w:val="00B271E1"/>
    <w:rsid w:val="00B275CF"/>
    <w:rsid w:val="00B2768B"/>
    <w:rsid w:val="00B27AE6"/>
    <w:rsid w:val="00B318B6"/>
    <w:rsid w:val="00B3199D"/>
    <w:rsid w:val="00B31F67"/>
    <w:rsid w:val="00B32080"/>
    <w:rsid w:val="00B32105"/>
    <w:rsid w:val="00B3272E"/>
    <w:rsid w:val="00B33239"/>
    <w:rsid w:val="00B33487"/>
    <w:rsid w:val="00B344A0"/>
    <w:rsid w:val="00B34BA5"/>
    <w:rsid w:val="00B34C63"/>
    <w:rsid w:val="00B34DA4"/>
    <w:rsid w:val="00B35B7B"/>
    <w:rsid w:val="00B35E74"/>
    <w:rsid w:val="00B3669E"/>
    <w:rsid w:val="00B3675A"/>
    <w:rsid w:val="00B36CD1"/>
    <w:rsid w:val="00B36CE4"/>
    <w:rsid w:val="00B36E81"/>
    <w:rsid w:val="00B374C2"/>
    <w:rsid w:val="00B40452"/>
    <w:rsid w:val="00B40DE3"/>
    <w:rsid w:val="00B40E64"/>
    <w:rsid w:val="00B41087"/>
    <w:rsid w:val="00B417F2"/>
    <w:rsid w:val="00B41946"/>
    <w:rsid w:val="00B419F7"/>
    <w:rsid w:val="00B42B69"/>
    <w:rsid w:val="00B42E74"/>
    <w:rsid w:val="00B44978"/>
    <w:rsid w:val="00B44BEB"/>
    <w:rsid w:val="00B452B9"/>
    <w:rsid w:val="00B455C5"/>
    <w:rsid w:val="00B455EC"/>
    <w:rsid w:val="00B45AB6"/>
    <w:rsid w:val="00B45F8B"/>
    <w:rsid w:val="00B4662E"/>
    <w:rsid w:val="00B47024"/>
    <w:rsid w:val="00B47CA9"/>
    <w:rsid w:val="00B50146"/>
    <w:rsid w:val="00B502C1"/>
    <w:rsid w:val="00B509B5"/>
    <w:rsid w:val="00B513F8"/>
    <w:rsid w:val="00B51B03"/>
    <w:rsid w:val="00B522DB"/>
    <w:rsid w:val="00B52A33"/>
    <w:rsid w:val="00B52DFE"/>
    <w:rsid w:val="00B53A10"/>
    <w:rsid w:val="00B53AC1"/>
    <w:rsid w:val="00B53D6F"/>
    <w:rsid w:val="00B53E63"/>
    <w:rsid w:val="00B5410E"/>
    <w:rsid w:val="00B542B9"/>
    <w:rsid w:val="00B54A85"/>
    <w:rsid w:val="00B54BBF"/>
    <w:rsid w:val="00B54C2D"/>
    <w:rsid w:val="00B5537D"/>
    <w:rsid w:val="00B5585A"/>
    <w:rsid w:val="00B56B73"/>
    <w:rsid w:val="00B57080"/>
    <w:rsid w:val="00B575E1"/>
    <w:rsid w:val="00B577E1"/>
    <w:rsid w:val="00B605B0"/>
    <w:rsid w:val="00B60602"/>
    <w:rsid w:val="00B60D8B"/>
    <w:rsid w:val="00B60DA7"/>
    <w:rsid w:val="00B61215"/>
    <w:rsid w:val="00B61849"/>
    <w:rsid w:val="00B61A12"/>
    <w:rsid w:val="00B625B9"/>
    <w:rsid w:val="00B626BC"/>
    <w:rsid w:val="00B62717"/>
    <w:rsid w:val="00B62E6B"/>
    <w:rsid w:val="00B6391F"/>
    <w:rsid w:val="00B63A70"/>
    <w:rsid w:val="00B63AA5"/>
    <w:rsid w:val="00B648EB"/>
    <w:rsid w:val="00B6528A"/>
    <w:rsid w:val="00B654B1"/>
    <w:rsid w:val="00B65F7F"/>
    <w:rsid w:val="00B65F99"/>
    <w:rsid w:val="00B66C17"/>
    <w:rsid w:val="00B6709D"/>
    <w:rsid w:val="00B678C9"/>
    <w:rsid w:val="00B67A87"/>
    <w:rsid w:val="00B67D0E"/>
    <w:rsid w:val="00B70176"/>
    <w:rsid w:val="00B7132E"/>
    <w:rsid w:val="00B7154E"/>
    <w:rsid w:val="00B71CB3"/>
    <w:rsid w:val="00B73291"/>
    <w:rsid w:val="00B7337F"/>
    <w:rsid w:val="00B7353A"/>
    <w:rsid w:val="00B73B1E"/>
    <w:rsid w:val="00B73D04"/>
    <w:rsid w:val="00B74295"/>
    <w:rsid w:val="00B74BAB"/>
    <w:rsid w:val="00B74DF5"/>
    <w:rsid w:val="00B75A32"/>
    <w:rsid w:val="00B75F4B"/>
    <w:rsid w:val="00B76260"/>
    <w:rsid w:val="00B76322"/>
    <w:rsid w:val="00B7728C"/>
    <w:rsid w:val="00B77A95"/>
    <w:rsid w:val="00B80031"/>
    <w:rsid w:val="00B801A5"/>
    <w:rsid w:val="00B80468"/>
    <w:rsid w:val="00B80502"/>
    <w:rsid w:val="00B80F9E"/>
    <w:rsid w:val="00B81C00"/>
    <w:rsid w:val="00B81F63"/>
    <w:rsid w:val="00B823FF"/>
    <w:rsid w:val="00B82431"/>
    <w:rsid w:val="00B82696"/>
    <w:rsid w:val="00B828F6"/>
    <w:rsid w:val="00B82F3F"/>
    <w:rsid w:val="00B83B4C"/>
    <w:rsid w:val="00B8486E"/>
    <w:rsid w:val="00B84F76"/>
    <w:rsid w:val="00B85035"/>
    <w:rsid w:val="00B8552F"/>
    <w:rsid w:val="00B859DC"/>
    <w:rsid w:val="00B85BB2"/>
    <w:rsid w:val="00B8630F"/>
    <w:rsid w:val="00B86AB0"/>
    <w:rsid w:val="00B87642"/>
    <w:rsid w:val="00B8799B"/>
    <w:rsid w:val="00B87B2A"/>
    <w:rsid w:val="00B87B9F"/>
    <w:rsid w:val="00B87E52"/>
    <w:rsid w:val="00B90806"/>
    <w:rsid w:val="00B90823"/>
    <w:rsid w:val="00B90C0E"/>
    <w:rsid w:val="00B91D46"/>
    <w:rsid w:val="00B91D82"/>
    <w:rsid w:val="00B91F09"/>
    <w:rsid w:val="00B91FE4"/>
    <w:rsid w:val="00B922EC"/>
    <w:rsid w:val="00B929AD"/>
    <w:rsid w:val="00B92E85"/>
    <w:rsid w:val="00B92F39"/>
    <w:rsid w:val="00B92F7E"/>
    <w:rsid w:val="00B93B81"/>
    <w:rsid w:val="00B93C4C"/>
    <w:rsid w:val="00B93CCF"/>
    <w:rsid w:val="00B943FE"/>
    <w:rsid w:val="00B947F8"/>
    <w:rsid w:val="00B947FE"/>
    <w:rsid w:val="00B94B6F"/>
    <w:rsid w:val="00B94C73"/>
    <w:rsid w:val="00B94D50"/>
    <w:rsid w:val="00B95207"/>
    <w:rsid w:val="00B958CC"/>
    <w:rsid w:val="00B9599C"/>
    <w:rsid w:val="00B95E3D"/>
    <w:rsid w:val="00B95E76"/>
    <w:rsid w:val="00B95F3E"/>
    <w:rsid w:val="00B96015"/>
    <w:rsid w:val="00B96AE4"/>
    <w:rsid w:val="00B96D47"/>
    <w:rsid w:val="00B9707C"/>
    <w:rsid w:val="00B97783"/>
    <w:rsid w:val="00B97EBA"/>
    <w:rsid w:val="00BA10D7"/>
    <w:rsid w:val="00BA1909"/>
    <w:rsid w:val="00BA19AB"/>
    <w:rsid w:val="00BA32B7"/>
    <w:rsid w:val="00BA3572"/>
    <w:rsid w:val="00BA4768"/>
    <w:rsid w:val="00BA48B1"/>
    <w:rsid w:val="00BA4BB2"/>
    <w:rsid w:val="00BA5762"/>
    <w:rsid w:val="00BA5ECB"/>
    <w:rsid w:val="00BA6981"/>
    <w:rsid w:val="00BA6CA4"/>
    <w:rsid w:val="00BA6CE5"/>
    <w:rsid w:val="00BA6F72"/>
    <w:rsid w:val="00BA7158"/>
    <w:rsid w:val="00BA71D7"/>
    <w:rsid w:val="00BA72EE"/>
    <w:rsid w:val="00BA77EF"/>
    <w:rsid w:val="00BA7D98"/>
    <w:rsid w:val="00BB00A5"/>
    <w:rsid w:val="00BB03FD"/>
    <w:rsid w:val="00BB09B8"/>
    <w:rsid w:val="00BB0CCB"/>
    <w:rsid w:val="00BB0E89"/>
    <w:rsid w:val="00BB13FD"/>
    <w:rsid w:val="00BB153E"/>
    <w:rsid w:val="00BB1AB5"/>
    <w:rsid w:val="00BB253E"/>
    <w:rsid w:val="00BB2D12"/>
    <w:rsid w:val="00BB2E97"/>
    <w:rsid w:val="00BB3217"/>
    <w:rsid w:val="00BB3776"/>
    <w:rsid w:val="00BB42D6"/>
    <w:rsid w:val="00BB4C1B"/>
    <w:rsid w:val="00BB5142"/>
    <w:rsid w:val="00BB56BF"/>
    <w:rsid w:val="00BB588B"/>
    <w:rsid w:val="00BB5933"/>
    <w:rsid w:val="00BB59D2"/>
    <w:rsid w:val="00BB5EFF"/>
    <w:rsid w:val="00BB6737"/>
    <w:rsid w:val="00BB71C2"/>
    <w:rsid w:val="00BB7828"/>
    <w:rsid w:val="00BB78D9"/>
    <w:rsid w:val="00BB78EF"/>
    <w:rsid w:val="00BC0F51"/>
    <w:rsid w:val="00BC165F"/>
    <w:rsid w:val="00BC17FE"/>
    <w:rsid w:val="00BC1BF1"/>
    <w:rsid w:val="00BC1C1D"/>
    <w:rsid w:val="00BC1DFD"/>
    <w:rsid w:val="00BC24DA"/>
    <w:rsid w:val="00BC3E0C"/>
    <w:rsid w:val="00BC49F8"/>
    <w:rsid w:val="00BC4AE2"/>
    <w:rsid w:val="00BC4E10"/>
    <w:rsid w:val="00BC5265"/>
    <w:rsid w:val="00BC5533"/>
    <w:rsid w:val="00BC5F1F"/>
    <w:rsid w:val="00BC6163"/>
    <w:rsid w:val="00BC622A"/>
    <w:rsid w:val="00BC6C32"/>
    <w:rsid w:val="00BC72BF"/>
    <w:rsid w:val="00BC772F"/>
    <w:rsid w:val="00BC7A0B"/>
    <w:rsid w:val="00BC7E0F"/>
    <w:rsid w:val="00BD0663"/>
    <w:rsid w:val="00BD07E8"/>
    <w:rsid w:val="00BD1361"/>
    <w:rsid w:val="00BD1912"/>
    <w:rsid w:val="00BD192D"/>
    <w:rsid w:val="00BD2028"/>
    <w:rsid w:val="00BD26D6"/>
    <w:rsid w:val="00BD29A3"/>
    <w:rsid w:val="00BD3443"/>
    <w:rsid w:val="00BD497C"/>
    <w:rsid w:val="00BD4ACF"/>
    <w:rsid w:val="00BD5352"/>
    <w:rsid w:val="00BD54E2"/>
    <w:rsid w:val="00BD5582"/>
    <w:rsid w:val="00BD5DD1"/>
    <w:rsid w:val="00BD5E17"/>
    <w:rsid w:val="00BD617F"/>
    <w:rsid w:val="00BD638B"/>
    <w:rsid w:val="00BD640D"/>
    <w:rsid w:val="00BD6417"/>
    <w:rsid w:val="00BD646B"/>
    <w:rsid w:val="00BD64E8"/>
    <w:rsid w:val="00BD6C63"/>
    <w:rsid w:val="00BD75A8"/>
    <w:rsid w:val="00BD768B"/>
    <w:rsid w:val="00BD78ED"/>
    <w:rsid w:val="00BD7BC8"/>
    <w:rsid w:val="00BD7CDF"/>
    <w:rsid w:val="00BD7F88"/>
    <w:rsid w:val="00BE0005"/>
    <w:rsid w:val="00BE05F6"/>
    <w:rsid w:val="00BE0DC4"/>
    <w:rsid w:val="00BE11B5"/>
    <w:rsid w:val="00BE154A"/>
    <w:rsid w:val="00BE20A5"/>
    <w:rsid w:val="00BE2A42"/>
    <w:rsid w:val="00BE3834"/>
    <w:rsid w:val="00BE3EB1"/>
    <w:rsid w:val="00BE4074"/>
    <w:rsid w:val="00BE43F2"/>
    <w:rsid w:val="00BE49E5"/>
    <w:rsid w:val="00BE4A5E"/>
    <w:rsid w:val="00BE4E27"/>
    <w:rsid w:val="00BE50A0"/>
    <w:rsid w:val="00BE5399"/>
    <w:rsid w:val="00BE576B"/>
    <w:rsid w:val="00BE5AC5"/>
    <w:rsid w:val="00BE5BB5"/>
    <w:rsid w:val="00BE5CE9"/>
    <w:rsid w:val="00BE66D7"/>
    <w:rsid w:val="00BE69E6"/>
    <w:rsid w:val="00BE726E"/>
    <w:rsid w:val="00BE75D9"/>
    <w:rsid w:val="00BF0438"/>
    <w:rsid w:val="00BF05C4"/>
    <w:rsid w:val="00BF1093"/>
    <w:rsid w:val="00BF12C5"/>
    <w:rsid w:val="00BF1991"/>
    <w:rsid w:val="00BF1C5F"/>
    <w:rsid w:val="00BF1FE7"/>
    <w:rsid w:val="00BF271B"/>
    <w:rsid w:val="00BF289C"/>
    <w:rsid w:val="00BF2923"/>
    <w:rsid w:val="00BF29BD"/>
    <w:rsid w:val="00BF2B20"/>
    <w:rsid w:val="00BF42A8"/>
    <w:rsid w:val="00BF47FB"/>
    <w:rsid w:val="00BF4DEE"/>
    <w:rsid w:val="00BF4ED0"/>
    <w:rsid w:val="00BF5007"/>
    <w:rsid w:val="00BF53B0"/>
    <w:rsid w:val="00BF54F6"/>
    <w:rsid w:val="00BF5A1E"/>
    <w:rsid w:val="00BF5D2A"/>
    <w:rsid w:val="00BF608E"/>
    <w:rsid w:val="00BF6842"/>
    <w:rsid w:val="00BF6E57"/>
    <w:rsid w:val="00BF6FA7"/>
    <w:rsid w:val="00BF73CE"/>
    <w:rsid w:val="00BF7D18"/>
    <w:rsid w:val="00C0080B"/>
    <w:rsid w:val="00C01B9F"/>
    <w:rsid w:val="00C01CAC"/>
    <w:rsid w:val="00C0203B"/>
    <w:rsid w:val="00C02096"/>
    <w:rsid w:val="00C02F0F"/>
    <w:rsid w:val="00C031BD"/>
    <w:rsid w:val="00C04080"/>
    <w:rsid w:val="00C048EC"/>
    <w:rsid w:val="00C04B1B"/>
    <w:rsid w:val="00C052FB"/>
    <w:rsid w:val="00C05699"/>
    <w:rsid w:val="00C062C2"/>
    <w:rsid w:val="00C0667A"/>
    <w:rsid w:val="00C06DE9"/>
    <w:rsid w:val="00C06FBD"/>
    <w:rsid w:val="00C07036"/>
    <w:rsid w:val="00C07411"/>
    <w:rsid w:val="00C103AF"/>
    <w:rsid w:val="00C10495"/>
    <w:rsid w:val="00C1096B"/>
    <w:rsid w:val="00C1106F"/>
    <w:rsid w:val="00C1195F"/>
    <w:rsid w:val="00C12149"/>
    <w:rsid w:val="00C124A3"/>
    <w:rsid w:val="00C124EF"/>
    <w:rsid w:val="00C12732"/>
    <w:rsid w:val="00C1306D"/>
    <w:rsid w:val="00C136C1"/>
    <w:rsid w:val="00C137B1"/>
    <w:rsid w:val="00C13865"/>
    <w:rsid w:val="00C13A8E"/>
    <w:rsid w:val="00C13BAF"/>
    <w:rsid w:val="00C144D0"/>
    <w:rsid w:val="00C14C68"/>
    <w:rsid w:val="00C14DE0"/>
    <w:rsid w:val="00C14EB0"/>
    <w:rsid w:val="00C14F23"/>
    <w:rsid w:val="00C153E7"/>
    <w:rsid w:val="00C158AC"/>
    <w:rsid w:val="00C15BCF"/>
    <w:rsid w:val="00C17337"/>
    <w:rsid w:val="00C204C9"/>
    <w:rsid w:val="00C204E9"/>
    <w:rsid w:val="00C2090E"/>
    <w:rsid w:val="00C20CDF"/>
    <w:rsid w:val="00C210DA"/>
    <w:rsid w:val="00C21411"/>
    <w:rsid w:val="00C214D0"/>
    <w:rsid w:val="00C21505"/>
    <w:rsid w:val="00C21800"/>
    <w:rsid w:val="00C22237"/>
    <w:rsid w:val="00C222E2"/>
    <w:rsid w:val="00C225BB"/>
    <w:rsid w:val="00C22688"/>
    <w:rsid w:val="00C22D69"/>
    <w:rsid w:val="00C230A6"/>
    <w:rsid w:val="00C2312C"/>
    <w:rsid w:val="00C23322"/>
    <w:rsid w:val="00C23EDA"/>
    <w:rsid w:val="00C24100"/>
    <w:rsid w:val="00C24D85"/>
    <w:rsid w:val="00C25B92"/>
    <w:rsid w:val="00C25C77"/>
    <w:rsid w:val="00C2658B"/>
    <w:rsid w:val="00C26B0F"/>
    <w:rsid w:val="00C304B9"/>
    <w:rsid w:val="00C310FD"/>
    <w:rsid w:val="00C31116"/>
    <w:rsid w:val="00C31316"/>
    <w:rsid w:val="00C31320"/>
    <w:rsid w:val="00C31948"/>
    <w:rsid w:val="00C324A8"/>
    <w:rsid w:val="00C326FD"/>
    <w:rsid w:val="00C327B3"/>
    <w:rsid w:val="00C329D4"/>
    <w:rsid w:val="00C32E5B"/>
    <w:rsid w:val="00C3321D"/>
    <w:rsid w:val="00C332EA"/>
    <w:rsid w:val="00C3349C"/>
    <w:rsid w:val="00C337A5"/>
    <w:rsid w:val="00C33E0B"/>
    <w:rsid w:val="00C34320"/>
    <w:rsid w:val="00C3468B"/>
    <w:rsid w:val="00C34D6D"/>
    <w:rsid w:val="00C3535E"/>
    <w:rsid w:val="00C3578A"/>
    <w:rsid w:val="00C35948"/>
    <w:rsid w:val="00C359C9"/>
    <w:rsid w:val="00C35AB6"/>
    <w:rsid w:val="00C3659F"/>
    <w:rsid w:val="00C36D6E"/>
    <w:rsid w:val="00C36D7F"/>
    <w:rsid w:val="00C37550"/>
    <w:rsid w:val="00C37598"/>
    <w:rsid w:val="00C37658"/>
    <w:rsid w:val="00C3765C"/>
    <w:rsid w:val="00C37739"/>
    <w:rsid w:val="00C37D0F"/>
    <w:rsid w:val="00C37D92"/>
    <w:rsid w:val="00C40719"/>
    <w:rsid w:val="00C40AB4"/>
    <w:rsid w:val="00C40B2A"/>
    <w:rsid w:val="00C4155F"/>
    <w:rsid w:val="00C426B5"/>
    <w:rsid w:val="00C42D9C"/>
    <w:rsid w:val="00C42E3F"/>
    <w:rsid w:val="00C434E5"/>
    <w:rsid w:val="00C4373D"/>
    <w:rsid w:val="00C43E6E"/>
    <w:rsid w:val="00C441AF"/>
    <w:rsid w:val="00C4432F"/>
    <w:rsid w:val="00C4437C"/>
    <w:rsid w:val="00C443C6"/>
    <w:rsid w:val="00C44870"/>
    <w:rsid w:val="00C449A0"/>
    <w:rsid w:val="00C44FE7"/>
    <w:rsid w:val="00C450EF"/>
    <w:rsid w:val="00C45A78"/>
    <w:rsid w:val="00C45B1B"/>
    <w:rsid w:val="00C45EAE"/>
    <w:rsid w:val="00C46163"/>
    <w:rsid w:val="00C462BE"/>
    <w:rsid w:val="00C47307"/>
    <w:rsid w:val="00C5084F"/>
    <w:rsid w:val="00C51579"/>
    <w:rsid w:val="00C51A54"/>
    <w:rsid w:val="00C5224A"/>
    <w:rsid w:val="00C52AE4"/>
    <w:rsid w:val="00C53579"/>
    <w:rsid w:val="00C544AB"/>
    <w:rsid w:val="00C5496B"/>
    <w:rsid w:val="00C54C88"/>
    <w:rsid w:val="00C54EBD"/>
    <w:rsid w:val="00C5549F"/>
    <w:rsid w:val="00C55BCF"/>
    <w:rsid w:val="00C55E72"/>
    <w:rsid w:val="00C56885"/>
    <w:rsid w:val="00C56F18"/>
    <w:rsid w:val="00C57894"/>
    <w:rsid w:val="00C604C0"/>
    <w:rsid w:val="00C60EAC"/>
    <w:rsid w:val="00C613C4"/>
    <w:rsid w:val="00C61688"/>
    <w:rsid w:val="00C61DAD"/>
    <w:rsid w:val="00C61E93"/>
    <w:rsid w:val="00C61FD5"/>
    <w:rsid w:val="00C6224A"/>
    <w:rsid w:val="00C62BCD"/>
    <w:rsid w:val="00C62EFB"/>
    <w:rsid w:val="00C63189"/>
    <w:rsid w:val="00C63A6E"/>
    <w:rsid w:val="00C63BD5"/>
    <w:rsid w:val="00C64B4C"/>
    <w:rsid w:val="00C64B57"/>
    <w:rsid w:val="00C64C2E"/>
    <w:rsid w:val="00C656FD"/>
    <w:rsid w:val="00C65E63"/>
    <w:rsid w:val="00C6635A"/>
    <w:rsid w:val="00C66705"/>
    <w:rsid w:val="00C66D9E"/>
    <w:rsid w:val="00C672F2"/>
    <w:rsid w:val="00C678E6"/>
    <w:rsid w:val="00C67BA4"/>
    <w:rsid w:val="00C7060D"/>
    <w:rsid w:val="00C70C97"/>
    <w:rsid w:val="00C714D2"/>
    <w:rsid w:val="00C71A4A"/>
    <w:rsid w:val="00C72985"/>
    <w:rsid w:val="00C73394"/>
    <w:rsid w:val="00C73609"/>
    <w:rsid w:val="00C73979"/>
    <w:rsid w:val="00C747BC"/>
    <w:rsid w:val="00C752EA"/>
    <w:rsid w:val="00C7573B"/>
    <w:rsid w:val="00C76431"/>
    <w:rsid w:val="00C76AFE"/>
    <w:rsid w:val="00C7776F"/>
    <w:rsid w:val="00C777F1"/>
    <w:rsid w:val="00C77A83"/>
    <w:rsid w:val="00C77ABD"/>
    <w:rsid w:val="00C80B76"/>
    <w:rsid w:val="00C80BE4"/>
    <w:rsid w:val="00C80DA5"/>
    <w:rsid w:val="00C80EBB"/>
    <w:rsid w:val="00C810F9"/>
    <w:rsid w:val="00C81834"/>
    <w:rsid w:val="00C818E8"/>
    <w:rsid w:val="00C819F3"/>
    <w:rsid w:val="00C81B38"/>
    <w:rsid w:val="00C8297A"/>
    <w:rsid w:val="00C82C0D"/>
    <w:rsid w:val="00C83640"/>
    <w:rsid w:val="00C84408"/>
    <w:rsid w:val="00C84915"/>
    <w:rsid w:val="00C849B9"/>
    <w:rsid w:val="00C84E96"/>
    <w:rsid w:val="00C8513C"/>
    <w:rsid w:val="00C853B2"/>
    <w:rsid w:val="00C85EBB"/>
    <w:rsid w:val="00C85F03"/>
    <w:rsid w:val="00C867AE"/>
    <w:rsid w:val="00C86BCA"/>
    <w:rsid w:val="00C87364"/>
    <w:rsid w:val="00C8737C"/>
    <w:rsid w:val="00C902B7"/>
    <w:rsid w:val="00C9062E"/>
    <w:rsid w:val="00C912A6"/>
    <w:rsid w:val="00C912AF"/>
    <w:rsid w:val="00C91331"/>
    <w:rsid w:val="00C913DF"/>
    <w:rsid w:val="00C916CD"/>
    <w:rsid w:val="00C9186E"/>
    <w:rsid w:val="00C93031"/>
    <w:rsid w:val="00C93271"/>
    <w:rsid w:val="00C935A2"/>
    <w:rsid w:val="00C935D5"/>
    <w:rsid w:val="00C93720"/>
    <w:rsid w:val="00C93996"/>
    <w:rsid w:val="00C93D18"/>
    <w:rsid w:val="00C945C3"/>
    <w:rsid w:val="00C94BB2"/>
    <w:rsid w:val="00C95B9A"/>
    <w:rsid w:val="00C95B9D"/>
    <w:rsid w:val="00C97138"/>
    <w:rsid w:val="00C97763"/>
    <w:rsid w:val="00C979F9"/>
    <w:rsid w:val="00C97BCA"/>
    <w:rsid w:val="00CA0194"/>
    <w:rsid w:val="00CA03D0"/>
    <w:rsid w:val="00CA077A"/>
    <w:rsid w:val="00CA0F04"/>
    <w:rsid w:val="00CA180D"/>
    <w:rsid w:val="00CA2257"/>
    <w:rsid w:val="00CA2A7E"/>
    <w:rsid w:val="00CA2B4A"/>
    <w:rsid w:val="00CA2C1A"/>
    <w:rsid w:val="00CA3463"/>
    <w:rsid w:val="00CA46B4"/>
    <w:rsid w:val="00CA4D5F"/>
    <w:rsid w:val="00CA4ECF"/>
    <w:rsid w:val="00CA4EE4"/>
    <w:rsid w:val="00CA590C"/>
    <w:rsid w:val="00CA5DA7"/>
    <w:rsid w:val="00CA6043"/>
    <w:rsid w:val="00CA68BD"/>
    <w:rsid w:val="00CA69C8"/>
    <w:rsid w:val="00CA734C"/>
    <w:rsid w:val="00CA754D"/>
    <w:rsid w:val="00CA7FA3"/>
    <w:rsid w:val="00CB0702"/>
    <w:rsid w:val="00CB085B"/>
    <w:rsid w:val="00CB10D3"/>
    <w:rsid w:val="00CB183E"/>
    <w:rsid w:val="00CB18BD"/>
    <w:rsid w:val="00CB191D"/>
    <w:rsid w:val="00CB1AE0"/>
    <w:rsid w:val="00CB3221"/>
    <w:rsid w:val="00CB368A"/>
    <w:rsid w:val="00CB39B6"/>
    <w:rsid w:val="00CB3C92"/>
    <w:rsid w:val="00CB3D35"/>
    <w:rsid w:val="00CB3FD7"/>
    <w:rsid w:val="00CB4158"/>
    <w:rsid w:val="00CB4374"/>
    <w:rsid w:val="00CB476F"/>
    <w:rsid w:val="00CB4B1E"/>
    <w:rsid w:val="00CB4F36"/>
    <w:rsid w:val="00CB5266"/>
    <w:rsid w:val="00CB5332"/>
    <w:rsid w:val="00CB5398"/>
    <w:rsid w:val="00CB57E5"/>
    <w:rsid w:val="00CB5828"/>
    <w:rsid w:val="00CB5A78"/>
    <w:rsid w:val="00CB5A9B"/>
    <w:rsid w:val="00CB5FE3"/>
    <w:rsid w:val="00CB670C"/>
    <w:rsid w:val="00CB6A21"/>
    <w:rsid w:val="00CB6BBF"/>
    <w:rsid w:val="00CB6F75"/>
    <w:rsid w:val="00CB76DC"/>
    <w:rsid w:val="00CB7A4C"/>
    <w:rsid w:val="00CB7D84"/>
    <w:rsid w:val="00CC0231"/>
    <w:rsid w:val="00CC037F"/>
    <w:rsid w:val="00CC0BBA"/>
    <w:rsid w:val="00CC2113"/>
    <w:rsid w:val="00CC2C86"/>
    <w:rsid w:val="00CC3C42"/>
    <w:rsid w:val="00CC3CAF"/>
    <w:rsid w:val="00CC420E"/>
    <w:rsid w:val="00CC4658"/>
    <w:rsid w:val="00CC4BD4"/>
    <w:rsid w:val="00CC53DA"/>
    <w:rsid w:val="00CC584E"/>
    <w:rsid w:val="00CC607C"/>
    <w:rsid w:val="00CC6F97"/>
    <w:rsid w:val="00CD0D59"/>
    <w:rsid w:val="00CD0F0B"/>
    <w:rsid w:val="00CD1649"/>
    <w:rsid w:val="00CD16CA"/>
    <w:rsid w:val="00CD1DE7"/>
    <w:rsid w:val="00CD2DB8"/>
    <w:rsid w:val="00CD2E75"/>
    <w:rsid w:val="00CD3672"/>
    <w:rsid w:val="00CD440A"/>
    <w:rsid w:val="00CD44B7"/>
    <w:rsid w:val="00CD4758"/>
    <w:rsid w:val="00CD4F5C"/>
    <w:rsid w:val="00CD5FA1"/>
    <w:rsid w:val="00CD5FC6"/>
    <w:rsid w:val="00CD6192"/>
    <w:rsid w:val="00CD61E9"/>
    <w:rsid w:val="00CD63E7"/>
    <w:rsid w:val="00CD751D"/>
    <w:rsid w:val="00CE06DA"/>
    <w:rsid w:val="00CE0712"/>
    <w:rsid w:val="00CE0848"/>
    <w:rsid w:val="00CE0BCD"/>
    <w:rsid w:val="00CE13A3"/>
    <w:rsid w:val="00CE1D78"/>
    <w:rsid w:val="00CE2024"/>
    <w:rsid w:val="00CE20AF"/>
    <w:rsid w:val="00CE2219"/>
    <w:rsid w:val="00CE2C3C"/>
    <w:rsid w:val="00CE32A2"/>
    <w:rsid w:val="00CE37F6"/>
    <w:rsid w:val="00CE3814"/>
    <w:rsid w:val="00CE3B89"/>
    <w:rsid w:val="00CE4511"/>
    <w:rsid w:val="00CE48DC"/>
    <w:rsid w:val="00CE4A4A"/>
    <w:rsid w:val="00CE4D74"/>
    <w:rsid w:val="00CE5C9B"/>
    <w:rsid w:val="00CE6AB1"/>
    <w:rsid w:val="00CE6B16"/>
    <w:rsid w:val="00CE7BD8"/>
    <w:rsid w:val="00CF0205"/>
    <w:rsid w:val="00CF08C4"/>
    <w:rsid w:val="00CF1931"/>
    <w:rsid w:val="00CF1A62"/>
    <w:rsid w:val="00CF2174"/>
    <w:rsid w:val="00CF2387"/>
    <w:rsid w:val="00CF266D"/>
    <w:rsid w:val="00CF2DD3"/>
    <w:rsid w:val="00CF2E0B"/>
    <w:rsid w:val="00CF327A"/>
    <w:rsid w:val="00CF3985"/>
    <w:rsid w:val="00CF3A5A"/>
    <w:rsid w:val="00CF3AC8"/>
    <w:rsid w:val="00CF42B8"/>
    <w:rsid w:val="00CF42EE"/>
    <w:rsid w:val="00CF467D"/>
    <w:rsid w:val="00CF4B17"/>
    <w:rsid w:val="00CF4BEF"/>
    <w:rsid w:val="00CF54F8"/>
    <w:rsid w:val="00CF56F3"/>
    <w:rsid w:val="00CF5F11"/>
    <w:rsid w:val="00CF6C1C"/>
    <w:rsid w:val="00CF7112"/>
    <w:rsid w:val="00CF739E"/>
    <w:rsid w:val="00CF76DB"/>
    <w:rsid w:val="00CF7C90"/>
    <w:rsid w:val="00D001D1"/>
    <w:rsid w:val="00D006F8"/>
    <w:rsid w:val="00D008DF"/>
    <w:rsid w:val="00D01C49"/>
    <w:rsid w:val="00D01FEF"/>
    <w:rsid w:val="00D02AC4"/>
    <w:rsid w:val="00D02EC4"/>
    <w:rsid w:val="00D03F8D"/>
    <w:rsid w:val="00D043B5"/>
    <w:rsid w:val="00D04637"/>
    <w:rsid w:val="00D050B6"/>
    <w:rsid w:val="00D05568"/>
    <w:rsid w:val="00D05A9A"/>
    <w:rsid w:val="00D06592"/>
    <w:rsid w:val="00D07D50"/>
    <w:rsid w:val="00D1001C"/>
    <w:rsid w:val="00D10273"/>
    <w:rsid w:val="00D1048A"/>
    <w:rsid w:val="00D104F1"/>
    <w:rsid w:val="00D11004"/>
    <w:rsid w:val="00D110BD"/>
    <w:rsid w:val="00D11911"/>
    <w:rsid w:val="00D11D67"/>
    <w:rsid w:val="00D12123"/>
    <w:rsid w:val="00D13462"/>
    <w:rsid w:val="00D13490"/>
    <w:rsid w:val="00D13752"/>
    <w:rsid w:val="00D1399E"/>
    <w:rsid w:val="00D13A12"/>
    <w:rsid w:val="00D14050"/>
    <w:rsid w:val="00D14273"/>
    <w:rsid w:val="00D1434B"/>
    <w:rsid w:val="00D1449D"/>
    <w:rsid w:val="00D1449E"/>
    <w:rsid w:val="00D14569"/>
    <w:rsid w:val="00D1471A"/>
    <w:rsid w:val="00D14A2B"/>
    <w:rsid w:val="00D14DF0"/>
    <w:rsid w:val="00D14F3A"/>
    <w:rsid w:val="00D150C3"/>
    <w:rsid w:val="00D15336"/>
    <w:rsid w:val="00D15F49"/>
    <w:rsid w:val="00D16074"/>
    <w:rsid w:val="00D16FFA"/>
    <w:rsid w:val="00D17279"/>
    <w:rsid w:val="00D17C45"/>
    <w:rsid w:val="00D17CB8"/>
    <w:rsid w:val="00D17D9C"/>
    <w:rsid w:val="00D17ED2"/>
    <w:rsid w:val="00D200D4"/>
    <w:rsid w:val="00D203CB"/>
    <w:rsid w:val="00D20974"/>
    <w:rsid w:val="00D21324"/>
    <w:rsid w:val="00D2135F"/>
    <w:rsid w:val="00D2139A"/>
    <w:rsid w:val="00D2152F"/>
    <w:rsid w:val="00D21977"/>
    <w:rsid w:val="00D219EE"/>
    <w:rsid w:val="00D21AA9"/>
    <w:rsid w:val="00D21B97"/>
    <w:rsid w:val="00D21D99"/>
    <w:rsid w:val="00D22437"/>
    <w:rsid w:val="00D225C1"/>
    <w:rsid w:val="00D22655"/>
    <w:rsid w:val="00D22EF9"/>
    <w:rsid w:val="00D2304A"/>
    <w:rsid w:val="00D230A5"/>
    <w:rsid w:val="00D23501"/>
    <w:rsid w:val="00D2354D"/>
    <w:rsid w:val="00D23D0B"/>
    <w:rsid w:val="00D24A50"/>
    <w:rsid w:val="00D253DF"/>
    <w:rsid w:val="00D25453"/>
    <w:rsid w:val="00D25E78"/>
    <w:rsid w:val="00D26898"/>
    <w:rsid w:val="00D26D3A"/>
    <w:rsid w:val="00D26E92"/>
    <w:rsid w:val="00D277B6"/>
    <w:rsid w:val="00D27CFA"/>
    <w:rsid w:val="00D27DF6"/>
    <w:rsid w:val="00D27FE1"/>
    <w:rsid w:val="00D3026A"/>
    <w:rsid w:val="00D302A9"/>
    <w:rsid w:val="00D30411"/>
    <w:rsid w:val="00D30496"/>
    <w:rsid w:val="00D3067D"/>
    <w:rsid w:val="00D308DC"/>
    <w:rsid w:val="00D30B27"/>
    <w:rsid w:val="00D30DC0"/>
    <w:rsid w:val="00D31D18"/>
    <w:rsid w:val="00D31E63"/>
    <w:rsid w:val="00D31E74"/>
    <w:rsid w:val="00D32460"/>
    <w:rsid w:val="00D32878"/>
    <w:rsid w:val="00D32C91"/>
    <w:rsid w:val="00D32F89"/>
    <w:rsid w:val="00D32FE1"/>
    <w:rsid w:val="00D33298"/>
    <w:rsid w:val="00D341F7"/>
    <w:rsid w:val="00D3575A"/>
    <w:rsid w:val="00D35E4A"/>
    <w:rsid w:val="00D360D3"/>
    <w:rsid w:val="00D361AE"/>
    <w:rsid w:val="00D37066"/>
    <w:rsid w:val="00D40628"/>
    <w:rsid w:val="00D4074A"/>
    <w:rsid w:val="00D40B77"/>
    <w:rsid w:val="00D410B7"/>
    <w:rsid w:val="00D417DF"/>
    <w:rsid w:val="00D4222F"/>
    <w:rsid w:val="00D42707"/>
    <w:rsid w:val="00D42942"/>
    <w:rsid w:val="00D42CFE"/>
    <w:rsid w:val="00D42F4A"/>
    <w:rsid w:val="00D42F75"/>
    <w:rsid w:val="00D432A8"/>
    <w:rsid w:val="00D437C3"/>
    <w:rsid w:val="00D438B6"/>
    <w:rsid w:val="00D43CE2"/>
    <w:rsid w:val="00D44107"/>
    <w:rsid w:val="00D452CC"/>
    <w:rsid w:val="00D453CE"/>
    <w:rsid w:val="00D4541A"/>
    <w:rsid w:val="00D4544C"/>
    <w:rsid w:val="00D4588C"/>
    <w:rsid w:val="00D458A7"/>
    <w:rsid w:val="00D45B00"/>
    <w:rsid w:val="00D45B0F"/>
    <w:rsid w:val="00D45DBE"/>
    <w:rsid w:val="00D46057"/>
    <w:rsid w:val="00D46BDD"/>
    <w:rsid w:val="00D46BF4"/>
    <w:rsid w:val="00D47DBA"/>
    <w:rsid w:val="00D47F40"/>
    <w:rsid w:val="00D5018F"/>
    <w:rsid w:val="00D50D32"/>
    <w:rsid w:val="00D516B9"/>
    <w:rsid w:val="00D51D7C"/>
    <w:rsid w:val="00D52C75"/>
    <w:rsid w:val="00D52EF5"/>
    <w:rsid w:val="00D53A22"/>
    <w:rsid w:val="00D541F1"/>
    <w:rsid w:val="00D54BBE"/>
    <w:rsid w:val="00D55EB7"/>
    <w:rsid w:val="00D56132"/>
    <w:rsid w:val="00D569B2"/>
    <w:rsid w:val="00D56D7E"/>
    <w:rsid w:val="00D57361"/>
    <w:rsid w:val="00D5769C"/>
    <w:rsid w:val="00D60065"/>
    <w:rsid w:val="00D60066"/>
    <w:rsid w:val="00D60EA3"/>
    <w:rsid w:val="00D60FEF"/>
    <w:rsid w:val="00D61B7F"/>
    <w:rsid w:val="00D62217"/>
    <w:rsid w:val="00D62237"/>
    <w:rsid w:val="00D62646"/>
    <w:rsid w:val="00D628D7"/>
    <w:rsid w:val="00D62C32"/>
    <w:rsid w:val="00D62F59"/>
    <w:rsid w:val="00D633E8"/>
    <w:rsid w:val="00D638C6"/>
    <w:rsid w:val="00D63D16"/>
    <w:rsid w:val="00D63D62"/>
    <w:rsid w:val="00D642A9"/>
    <w:rsid w:val="00D6490C"/>
    <w:rsid w:val="00D659B4"/>
    <w:rsid w:val="00D65A39"/>
    <w:rsid w:val="00D65A55"/>
    <w:rsid w:val="00D6642C"/>
    <w:rsid w:val="00D67017"/>
    <w:rsid w:val="00D6701D"/>
    <w:rsid w:val="00D6742B"/>
    <w:rsid w:val="00D700AD"/>
    <w:rsid w:val="00D7071E"/>
    <w:rsid w:val="00D70F37"/>
    <w:rsid w:val="00D71333"/>
    <w:rsid w:val="00D71A84"/>
    <w:rsid w:val="00D71C2E"/>
    <w:rsid w:val="00D71E3D"/>
    <w:rsid w:val="00D72A2B"/>
    <w:rsid w:val="00D72B12"/>
    <w:rsid w:val="00D72D27"/>
    <w:rsid w:val="00D73912"/>
    <w:rsid w:val="00D73E3E"/>
    <w:rsid w:val="00D742A4"/>
    <w:rsid w:val="00D74678"/>
    <w:rsid w:val="00D7486F"/>
    <w:rsid w:val="00D74CF9"/>
    <w:rsid w:val="00D75395"/>
    <w:rsid w:val="00D75BAC"/>
    <w:rsid w:val="00D7696E"/>
    <w:rsid w:val="00D76B2C"/>
    <w:rsid w:val="00D7761F"/>
    <w:rsid w:val="00D77758"/>
    <w:rsid w:val="00D7794D"/>
    <w:rsid w:val="00D7799D"/>
    <w:rsid w:val="00D808A7"/>
    <w:rsid w:val="00D8099F"/>
    <w:rsid w:val="00D80A5A"/>
    <w:rsid w:val="00D80B3A"/>
    <w:rsid w:val="00D80BE6"/>
    <w:rsid w:val="00D80CF6"/>
    <w:rsid w:val="00D81015"/>
    <w:rsid w:val="00D81415"/>
    <w:rsid w:val="00D814B2"/>
    <w:rsid w:val="00D8150E"/>
    <w:rsid w:val="00D815ED"/>
    <w:rsid w:val="00D8168B"/>
    <w:rsid w:val="00D823E4"/>
    <w:rsid w:val="00D82830"/>
    <w:rsid w:val="00D831A7"/>
    <w:rsid w:val="00D83EFE"/>
    <w:rsid w:val="00D841A5"/>
    <w:rsid w:val="00D8427E"/>
    <w:rsid w:val="00D84F10"/>
    <w:rsid w:val="00D84F9D"/>
    <w:rsid w:val="00D854F1"/>
    <w:rsid w:val="00D8563A"/>
    <w:rsid w:val="00D86EE0"/>
    <w:rsid w:val="00D873E8"/>
    <w:rsid w:val="00D87FB6"/>
    <w:rsid w:val="00D902B9"/>
    <w:rsid w:val="00D907A8"/>
    <w:rsid w:val="00D90B9C"/>
    <w:rsid w:val="00D90C2D"/>
    <w:rsid w:val="00D91979"/>
    <w:rsid w:val="00D91D9F"/>
    <w:rsid w:val="00D91ED4"/>
    <w:rsid w:val="00D92983"/>
    <w:rsid w:val="00D92B49"/>
    <w:rsid w:val="00D92E74"/>
    <w:rsid w:val="00D93197"/>
    <w:rsid w:val="00D93394"/>
    <w:rsid w:val="00D9396A"/>
    <w:rsid w:val="00D93A2B"/>
    <w:rsid w:val="00D94A6B"/>
    <w:rsid w:val="00D95B42"/>
    <w:rsid w:val="00D96B4E"/>
    <w:rsid w:val="00D96C21"/>
    <w:rsid w:val="00D9770F"/>
    <w:rsid w:val="00D97930"/>
    <w:rsid w:val="00D97CE1"/>
    <w:rsid w:val="00DA10F1"/>
    <w:rsid w:val="00DA2150"/>
    <w:rsid w:val="00DA23B9"/>
    <w:rsid w:val="00DA263A"/>
    <w:rsid w:val="00DA29EA"/>
    <w:rsid w:val="00DA29EB"/>
    <w:rsid w:val="00DA2CB6"/>
    <w:rsid w:val="00DA30FD"/>
    <w:rsid w:val="00DA312F"/>
    <w:rsid w:val="00DA31B1"/>
    <w:rsid w:val="00DA31E2"/>
    <w:rsid w:val="00DA328C"/>
    <w:rsid w:val="00DA37C1"/>
    <w:rsid w:val="00DA3A62"/>
    <w:rsid w:val="00DA521B"/>
    <w:rsid w:val="00DA59B9"/>
    <w:rsid w:val="00DA5B9C"/>
    <w:rsid w:val="00DA5C79"/>
    <w:rsid w:val="00DA5CA1"/>
    <w:rsid w:val="00DA5D48"/>
    <w:rsid w:val="00DA6353"/>
    <w:rsid w:val="00DA6B59"/>
    <w:rsid w:val="00DA6CA3"/>
    <w:rsid w:val="00DA735C"/>
    <w:rsid w:val="00DA752C"/>
    <w:rsid w:val="00DA7555"/>
    <w:rsid w:val="00DA760E"/>
    <w:rsid w:val="00DA79EA"/>
    <w:rsid w:val="00DA7B81"/>
    <w:rsid w:val="00DA7E78"/>
    <w:rsid w:val="00DB0DB0"/>
    <w:rsid w:val="00DB1214"/>
    <w:rsid w:val="00DB1C88"/>
    <w:rsid w:val="00DB22AF"/>
    <w:rsid w:val="00DB2EF1"/>
    <w:rsid w:val="00DB35E8"/>
    <w:rsid w:val="00DB3901"/>
    <w:rsid w:val="00DB39CC"/>
    <w:rsid w:val="00DB3BA5"/>
    <w:rsid w:val="00DB3EBD"/>
    <w:rsid w:val="00DB432F"/>
    <w:rsid w:val="00DB4A87"/>
    <w:rsid w:val="00DB4F12"/>
    <w:rsid w:val="00DB50DA"/>
    <w:rsid w:val="00DB513C"/>
    <w:rsid w:val="00DB5405"/>
    <w:rsid w:val="00DB5416"/>
    <w:rsid w:val="00DB60CA"/>
    <w:rsid w:val="00DB65DA"/>
    <w:rsid w:val="00DB6EB0"/>
    <w:rsid w:val="00DB71F0"/>
    <w:rsid w:val="00DB746D"/>
    <w:rsid w:val="00DB7A04"/>
    <w:rsid w:val="00DC01D9"/>
    <w:rsid w:val="00DC07EC"/>
    <w:rsid w:val="00DC0D69"/>
    <w:rsid w:val="00DC0DFE"/>
    <w:rsid w:val="00DC0F3B"/>
    <w:rsid w:val="00DC143B"/>
    <w:rsid w:val="00DC1748"/>
    <w:rsid w:val="00DC1D4A"/>
    <w:rsid w:val="00DC20F6"/>
    <w:rsid w:val="00DC26D5"/>
    <w:rsid w:val="00DC2A5D"/>
    <w:rsid w:val="00DC2D93"/>
    <w:rsid w:val="00DC3500"/>
    <w:rsid w:val="00DC354E"/>
    <w:rsid w:val="00DC3DA7"/>
    <w:rsid w:val="00DC3FD9"/>
    <w:rsid w:val="00DC467C"/>
    <w:rsid w:val="00DC4931"/>
    <w:rsid w:val="00DC498A"/>
    <w:rsid w:val="00DC4B39"/>
    <w:rsid w:val="00DC503D"/>
    <w:rsid w:val="00DC5061"/>
    <w:rsid w:val="00DC55E3"/>
    <w:rsid w:val="00DC5CA3"/>
    <w:rsid w:val="00DC5EAB"/>
    <w:rsid w:val="00DC669A"/>
    <w:rsid w:val="00DC6852"/>
    <w:rsid w:val="00DC7080"/>
    <w:rsid w:val="00DC744B"/>
    <w:rsid w:val="00DC77B9"/>
    <w:rsid w:val="00DD016D"/>
    <w:rsid w:val="00DD0C10"/>
    <w:rsid w:val="00DD122D"/>
    <w:rsid w:val="00DD13EB"/>
    <w:rsid w:val="00DD15D0"/>
    <w:rsid w:val="00DD189F"/>
    <w:rsid w:val="00DD1A7C"/>
    <w:rsid w:val="00DD1C09"/>
    <w:rsid w:val="00DD2172"/>
    <w:rsid w:val="00DD27B9"/>
    <w:rsid w:val="00DD2A62"/>
    <w:rsid w:val="00DD2D77"/>
    <w:rsid w:val="00DD37C1"/>
    <w:rsid w:val="00DD3996"/>
    <w:rsid w:val="00DD415B"/>
    <w:rsid w:val="00DD4181"/>
    <w:rsid w:val="00DD456A"/>
    <w:rsid w:val="00DD50C2"/>
    <w:rsid w:val="00DD5228"/>
    <w:rsid w:val="00DD5549"/>
    <w:rsid w:val="00DD5583"/>
    <w:rsid w:val="00DD58C8"/>
    <w:rsid w:val="00DD5B95"/>
    <w:rsid w:val="00DD5ED2"/>
    <w:rsid w:val="00DD715F"/>
    <w:rsid w:val="00DD78B9"/>
    <w:rsid w:val="00DD7F73"/>
    <w:rsid w:val="00DE002F"/>
    <w:rsid w:val="00DE0A09"/>
    <w:rsid w:val="00DE14CB"/>
    <w:rsid w:val="00DE1B7D"/>
    <w:rsid w:val="00DE339D"/>
    <w:rsid w:val="00DE34C4"/>
    <w:rsid w:val="00DE362B"/>
    <w:rsid w:val="00DE4521"/>
    <w:rsid w:val="00DE494A"/>
    <w:rsid w:val="00DE4AA9"/>
    <w:rsid w:val="00DE50C5"/>
    <w:rsid w:val="00DE51BD"/>
    <w:rsid w:val="00DE5952"/>
    <w:rsid w:val="00DE5B75"/>
    <w:rsid w:val="00DE6349"/>
    <w:rsid w:val="00DE6CC2"/>
    <w:rsid w:val="00DE714B"/>
    <w:rsid w:val="00DE75A4"/>
    <w:rsid w:val="00DE75A6"/>
    <w:rsid w:val="00DE76EF"/>
    <w:rsid w:val="00DE7A1C"/>
    <w:rsid w:val="00DE7B62"/>
    <w:rsid w:val="00DF02AC"/>
    <w:rsid w:val="00DF0DA2"/>
    <w:rsid w:val="00DF0ECF"/>
    <w:rsid w:val="00DF1AA4"/>
    <w:rsid w:val="00DF1EA3"/>
    <w:rsid w:val="00DF2CD9"/>
    <w:rsid w:val="00DF2E86"/>
    <w:rsid w:val="00DF2EEB"/>
    <w:rsid w:val="00DF3044"/>
    <w:rsid w:val="00DF328A"/>
    <w:rsid w:val="00DF35F2"/>
    <w:rsid w:val="00DF42E2"/>
    <w:rsid w:val="00DF43F5"/>
    <w:rsid w:val="00DF4827"/>
    <w:rsid w:val="00DF4C41"/>
    <w:rsid w:val="00DF4C43"/>
    <w:rsid w:val="00DF4D0A"/>
    <w:rsid w:val="00DF4E2B"/>
    <w:rsid w:val="00DF5446"/>
    <w:rsid w:val="00DF5605"/>
    <w:rsid w:val="00DF6D56"/>
    <w:rsid w:val="00DF740B"/>
    <w:rsid w:val="00E00F07"/>
    <w:rsid w:val="00E01ACB"/>
    <w:rsid w:val="00E02F4C"/>
    <w:rsid w:val="00E03027"/>
    <w:rsid w:val="00E0323F"/>
    <w:rsid w:val="00E04C53"/>
    <w:rsid w:val="00E05358"/>
    <w:rsid w:val="00E054CA"/>
    <w:rsid w:val="00E05D92"/>
    <w:rsid w:val="00E05ED6"/>
    <w:rsid w:val="00E05FA7"/>
    <w:rsid w:val="00E06D1A"/>
    <w:rsid w:val="00E076D6"/>
    <w:rsid w:val="00E07B8A"/>
    <w:rsid w:val="00E1262B"/>
    <w:rsid w:val="00E12A18"/>
    <w:rsid w:val="00E1338C"/>
    <w:rsid w:val="00E135AE"/>
    <w:rsid w:val="00E13624"/>
    <w:rsid w:val="00E13AAD"/>
    <w:rsid w:val="00E13D56"/>
    <w:rsid w:val="00E14210"/>
    <w:rsid w:val="00E14CFA"/>
    <w:rsid w:val="00E156B7"/>
    <w:rsid w:val="00E15D66"/>
    <w:rsid w:val="00E16097"/>
    <w:rsid w:val="00E1682F"/>
    <w:rsid w:val="00E16979"/>
    <w:rsid w:val="00E16B0F"/>
    <w:rsid w:val="00E16B63"/>
    <w:rsid w:val="00E171DB"/>
    <w:rsid w:val="00E17ACC"/>
    <w:rsid w:val="00E17C0E"/>
    <w:rsid w:val="00E17C2E"/>
    <w:rsid w:val="00E2011C"/>
    <w:rsid w:val="00E2042A"/>
    <w:rsid w:val="00E20776"/>
    <w:rsid w:val="00E209AF"/>
    <w:rsid w:val="00E22B5C"/>
    <w:rsid w:val="00E22F69"/>
    <w:rsid w:val="00E22FA8"/>
    <w:rsid w:val="00E23F98"/>
    <w:rsid w:val="00E24F24"/>
    <w:rsid w:val="00E25113"/>
    <w:rsid w:val="00E254C5"/>
    <w:rsid w:val="00E25A5F"/>
    <w:rsid w:val="00E25CF6"/>
    <w:rsid w:val="00E26647"/>
    <w:rsid w:val="00E266AF"/>
    <w:rsid w:val="00E26BE9"/>
    <w:rsid w:val="00E27052"/>
    <w:rsid w:val="00E27A00"/>
    <w:rsid w:val="00E27BFD"/>
    <w:rsid w:val="00E3013B"/>
    <w:rsid w:val="00E304E1"/>
    <w:rsid w:val="00E311F2"/>
    <w:rsid w:val="00E31231"/>
    <w:rsid w:val="00E313A4"/>
    <w:rsid w:val="00E31510"/>
    <w:rsid w:val="00E31B91"/>
    <w:rsid w:val="00E338F1"/>
    <w:rsid w:val="00E34340"/>
    <w:rsid w:val="00E34716"/>
    <w:rsid w:val="00E34A73"/>
    <w:rsid w:val="00E34E8B"/>
    <w:rsid w:val="00E35288"/>
    <w:rsid w:val="00E3583E"/>
    <w:rsid w:val="00E35CF0"/>
    <w:rsid w:val="00E35F0E"/>
    <w:rsid w:val="00E363A5"/>
    <w:rsid w:val="00E3748F"/>
    <w:rsid w:val="00E378D9"/>
    <w:rsid w:val="00E40978"/>
    <w:rsid w:val="00E40C59"/>
    <w:rsid w:val="00E41661"/>
    <w:rsid w:val="00E4177B"/>
    <w:rsid w:val="00E41F58"/>
    <w:rsid w:val="00E41FB5"/>
    <w:rsid w:val="00E42C76"/>
    <w:rsid w:val="00E43097"/>
    <w:rsid w:val="00E435B2"/>
    <w:rsid w:val="00E435DA"/>
    <w:rsid w:val="00E43EF9"/>
    <w:rsid w:val="00E445F6"/>
    <w:rsid w:val="00E45533"/>
    <w:rsid w:val="00E462FD"/>
    <w:rsid w:val="00E46422"/>
    <w:rsid w:val="00E47867"/>
    <w:rsid w:val="00E47D1E"/>
    <w:rsid w:val="00E506F4"/>
    <w:rsid w:val="00E5076E"/>
    <w:rsid w:val="00E50AC7"/>
    <w:rsid w:val="00E50DA1"/>
    <w:rsid w:val="00E51A26"/>
    <w:rsid w:val="00E52146"/>
    <w:rsid w:val="00E523ED"/>
    <w:rsid w:val="00E52529"/>
    <w:rsid w:val="00E52B41"/>
    <w:rsid w:val="00E52F52"/>
    <w:rsid w:val="00E53562"/>
    <w:rsid w:val="00E537A0"/>
    <w:rsid w:val="00E53FA3"/>
    <w:rsid w:val="00E540DB"/>
    <w:rsid w:val="00E5424E"/>
    <w:rsid w:val="00E54A1A"/>
    <w:rsid w:val="00E54B8A"/>
    <w:rsid w:val="00E55191"/>
    <w:rsid w:val="00E55245"/>
    <w:rsid w:val="00E55395"/>
    <w:rsid w:val="00E558D0"/>
    <w:rsid w:val="00E55D92"/>
    <w:rsid w:val="00E55FC8"/>
    <w:rsid w:val="00E56312"/>
    <w:rsid w:val="00E569B3"/>
    <w:rsid w:val="00E56C52"/>
    <w:rsid w:val="00E576F6"/>
    <w:rsid w:val="00E57784"/>
    <w:rsid w:val="00E579FF"/>
    <w:rsid w:val="00E57AC8"/>
    <w:rsid w:val="00E6058A"/>
    <w:rsid w:val="00E608AC"/>
    <w:rsid w:val="00E61235"/>
    <w:rsid w:val="00E62D92"/>
    <w:rsid w:val="00E62DCE"/>
    <w:rsid w:val="00E62F72"/>
    <w:rsid w:val="00E635BC"/>
    <w:rsid w:val="00E638E9"/>
    <w:rsid w:val="00E63ED1"/>
    <w:rsid w:val="00E64531"/>
    <w:rsid w:val="00E646AC"/>
    <w:rsid w:val="00E6479B"/>
    <w:rsid w:val="00E64CEA"/>
    <w:rsid w:val="00E65719"/>
    <w:rsid w:val="00E657DF"/>
    <w:rsid w:val="00E65ACD"/>
    <w:rsid w:val="00E65F6A"/>
    <w:rsid w:val="00E66D69"/>
    <w:rsid w:val="00E66E4D"/>
    <w:rsid w:val="00E67162"/>
    <w:rsid w:val="00E6742A"/>
    <w:rsid w:val="00E674F4"/>
    <w:rsid w:val="00E674FC"/>
    <w:rsid w:val="00E674FD"/>
    <w:rsid w:val="00E677F3"/>
    <w:rsid w:val="00E67A44"/>
    <w:rsid w:val="00E702D9"/>
    <w:rsid w:val="00E70588"/>
    <w:rsid w:val="00E706B7"/>
    <w:rsid w:val="00E709C1"/>
    <w:rsid w:val="00E70B2A"/>
    <w:rsid w:val="00E71441"/>
    <w:rsid w:val="00E734A6"/>
    <w:rsid w:val="00E73528"/>
    <w:rsid w:val="00E73A08"/>
    <w:rsid w:val="00E74569"/>
    <w:rsid w:val="00E74633"/>
    <w:rsid w:val="00E748F6"/>
    <w:rsid w:val="00E74B18"/>
    <w:rsid w:val="00E74D63"/>
    <w:rsid w:val="00E74F53"/>
    <w:rsid w:val="00E75D74"/>
    <w:rsid w:val="00E7606A"/>
    <w:rsid w:val="00E76D18"/>
    <w:rsid w:val="00E76FCA"/>
    <w:rsid w:val="00E7729C"/>
    <w:rsid w:val="00E779D4"/>
    <w:rsid w:val="00E77CA4"/>
    <w:rsid w:val="00E80446"/>
    <w:rsid w:val="00E805BF"/>
    <w:rsid w:val="00E8067E"/>
    <w:rsid w:val="00E807DE"/>
    <w:rsid w:val="00E80955"/>
    <w:rsid w:val="00E80991"/>
    <w:rsid w:val="00E809B2"/>
    <w:rsid w:val="00E80C7D"/>
    <w:rsid w:val="00E81643"/>
    <w:rsid w:val="00E81E58"/>
    <w:rsid w:val="00E8210C"/>
    <w:rsid w:val="00E826F3"/>
    <w:rsid w:val="00E82EC3"/>
    <w:rsid w:val="00E8384B"/>
    <w:rsid w:val="00E84B99"/>
    <w:rsid w:val="00E84E49"/>
    <w:rsid w:val="00E84F18"/>
    <w:rsid w:val="00E8562C"/>
    <w:rsid w:val="00E85DC5"/>
    <w:rsid w:val="00E8603A"/>
    <w:rsid w:val="00E86125"/>
    <w:rsid w:val="00E863DF"/>
    <w:rsid w:val="00E86509"/>
    <w:rsid w:val="00E86B2C"/>
    <w:rsid w:val="00E86C51"/>
    <w:rsid w:val="00E86F91"/>
    <w:rsid w:val="00E8715B"/>
    <w:rsid w:val="00E87466"/>
    <w:rsid w:val="00E905DE"/>
    <w:rsid w:val="00E90D1A"/>
    <w:rsid w:val="00E91122"/>
    <w:rsid w:val="00E9128D"/>
    <w:rsid w:val="00E9133B"/>
    <w:rsid w:val="00E914D8"/>
    <w:rsid w:val="00E92FEB"/>
    <w:rsid w:val="00E9344D"/>
    <w:rsid w:val="00E93D3E"/>
    <w:rsid w:val="00E94730"/>
    <w:rsid w:val="00E948CA"/>
    <w:rsid w:val="00E9576A"/>
    <w:rsid w:val="00E96E7E"/>
    <w:rsid w:val="00E97360"/>
    <w:rsid w:val="00E9779B"/>
    <w:rsid w:val="00E979A9"/>
    <w:rsid w:val="00E97C58"/>
    <w:rsid w:val="00EA0AFB"/>
    <w:rsid w:val="00EA0C42"/>
    <w:rsid w:val="00EA1406"/>
    <w:rsid w:val="00EA19A6"/>
    <w:rsid w:val="00EA1AEB"/>
    <w:rsid w:val="00EA1D4E"/>
    <w:rsid w:val="00EA2203"/>
    <w:rsid w:val="00EA226A"/>
    <w:rsid w:val="00EA2643"/>
    <w:rsid w:val="00EA2B6C"/>
    <w:rsid w:val="00EA2C38"/>
    <w:rsid w:val="00EA2E5D"/>
    <w:rsid w:val="00EA334B"/>
    <w:rsid w:val="00EA3635"/>
    <w:rsid w:val="00EA3B1F"/>
    <w:rsid w:val="00EA3DA6"/>
    <w:rsid w:val="00EA425F"/>
    <w:rsid w:val="00EA4615"/>
    <w:rsid w:val="00EA4804"/>
    <w:rsid w:val="00EA4E66"/>
    <w:rsid w:val="00EA5182"/>
    <w:rsid w:val="00EA539F"/>
    <w:rsid w:val="00EA544A"/>
    <w:rsid w:val="00EA55F8"/>
    <w:rsid w:val="00EA5733"/>
    <w:rsid w:val="00EA5C9E"/>
    <w:rsid w:val="00EA63D8"/>
    <w:rsid w:val="00EA6515"/>
    <w:rsid w:val="00EA6BF5"/>
    <w:rsid w:val="00EA6D9A"/>
    <w:rsid w:val="00EA71CF"/>
    <w:rsid w:val="00EA7727"/>
    <w:rsid w:val="00EB03A6"/>
    <w:rsid w:val="00EB078D"/>
    <w:rsid w:val="00EB0815"/>
    <w:rsid w:val="00EB0911"/>
    <w:rsid w:val="00EB0C3C"/>
    <w:rsid w:val="00EB1BA6"/>
    <w:rsid w:val="00EB2117"/>
    <w:rsid w:val="00EB26C3"/>
    <w:rsid w:val="00EB31CA"/>
    <w:rsid w:val="00EB3CCA"/>
    <w:rsid w:val="00EB3F34"/>
    <w:rsid w:val="00EB40E8"/>
    <w:rsid w:val="00EB41C2"/>
    <w:rsid w:val="00EB4228"/>
    <w:rsid w:val="00EB4275"/>
    <w:rsid w:val="00EB4491"/>
    <w:rsid w:val="00EB4796"/>
    <w:rsid w:val="00EB47AB"/>
    <w:rsid w:val="00EB4A12"/>
    <w:rsid w:val="00EB4E8E"/>
    <w:rsid w:val="00EB4F81"/>
    <w:rsid w:val="00EB5673"/>
    <w:rsid w:val="00EB56A6"/>
    <w:rsid w:val="00EB5A2D"/>
    <w:rsid w:val="00EB6E95"/>
    <w:rsid w:val="00EB72E8"/>
    <w:rsid w:val="00EC0069"/>
    <w:rsid w:val="00EC0316"/>
    <w:rsid w:val="00EC0DB8"/>
    <w:rsid w:val="00EC131E"/>
    <w:rsid w:val="00EC1323"/>
    <w:rsid w:val="00EC1833"/>
    <w:rsid w:val="00EC1A06"/>
    <w:rsid w:val="00EC1D59"/>
    <w:rsid w:val="00EC2100"/>
    <w:rsid w:val="00EC2194"/>
    <w:rsid w:val="00EC21E2"/>
    <w:rsid w:val="00EC238E"/>
    <w:rsid w:val="00EC2DBE"/>
    <w:rsid w:val="00EC336B"/>
    <w:rsid w:val="00EC3381"/>
    <w:rsid w:val="00EC355C"/>
    <w:rsid w:val="00EC3821"/>
    <w:rsid w:val="00EC576D"/>
    <w:rsid w:val="00EC5FF2"/>
    <w:rsid w:val="00EC63B3"/>
    <w:rsid w:val="00EC6A8C"/>
    <w:rsid w:val="00EC6FA3"/>
    <w:rsid w:val="00EC7A29"/>
    <w:rsid w:val="00EC7F46"/>
    <w:rsid w:val="00ED06FE"/>
    <w:rsid w:val="00ED0747"/>
    <w:rsid w:val="00ED0CB2"/>
    <w:rsid w:val="00ED1540"/>
    <w:rsid w:val="00ED17B6"/>
    <w:rsid w:val="00ED1808"/>
    <w:rsid w:val="00ED1949"/>
    <w:rsid w:val="00ED1A77"/>
    <w:rsid w:val="00ED1FB6"/>
    <w:rsid w:val="00ED3B1D"/>
    <w:rsid w:val="00ED468D"/>
    <w:rsid w:val="00ED486C"/>
    <w:rsid w:val="00ED4884"/>
    <w:rsid w:val="00ED50F6"/>
    <w:rsid w:val="00ED69B0"/>
    <w:rsid w:val="00ED754B"/>
    <w:rsid w:val="00ED75D0"/>
    <w:rsid w:val="00EE0096"/>
    <w:rsid w:val="00EE0272"/>
    <w:rsid w:val="00EE0419"/>
    <w:rsid w:val="00EE05D1"/>
    <w:rsid w:val="00EE0BC4"/>
    <w:rsid w:val="00EE0D24"/>
    <w:rsid w:val="00EE1090"/>
    <w:rsid w:val="00EE18B7"/>
    <w:rsid w:val="00EE1BEE"/>
    <w:rsid w:val="00EE1DD8"/>
    <w:rsid w:val="00EE22B6"/>
    <w:rsid w:val="00EE2B79"/>
    <w:rsid w:val="00EE3283"/>
    <w:rsid w:val="00EE396F"/>
    <w:rsid w:val="00EE3A52"/>
    <w:rsid w:val="00EE3A64"/>
    <w:rsid w:val="00EE3C82"/>
    <w:rsid w:val="00EE3DB5"/>
    <w:rsid w:val="00EE405C"/>
    <w:rsid w:val="00EE40DD"/>
    <w:rsid w:val="00EE50EF"/>
    <w:rsid w:val="00EE540A"/>
    <w:rsid w:val="00EE55D8"/>
    <w:rsid w:val="00EE599B"/>
    <w:rsid w:val="00EE63CF"/>
    <w:rsid w:val="00EE6CBB"/>
    <w:rsid w:val="00EE73F5"/>
    <w:rsid w:val="00EE7744"/>
    <w:rsid w:val="00EE7ADE"/>
    <w:rsid w:val="00EF00BA"/>
    <w:rsid w:val="00EF0E21"/>
    <w:rsid w:val="00EF1008"/>
    <w:rsid w:val="00EF12A2"/>
    <w:rsid w:val="00EF24FB"/>
    <w:rsid w:val="00EF2915"/>
    <w:rsid w:val="00EF2A4F"/>
    <w:rsid w:val="00EF2A55"/>
    <w:rsid w:val="00EF354E"/>
    <w:rsid w:val="00EF35BF"/>
    <w:rsid w:val="00EF3A59"/>
    <w:rsid w:val="00EF48E5"/>
    <w:rsid w:val="00EF496C"/>
    <w:rsid w:val="00EF49C4"/>
    <w:rsid w:val="00EF4D1B"/>
    <w:rsid w:val="00EF51B3"/>
    <w:rsid w:val="00EF5FCC"/>
    <w:rsid w:val="00EF61C0"/>
    <w:rsid w:val="00EF65E0"/>
    <w:rsid w:val="00EF676D"/>
    <w:rsid w:val="00EF6948"/>
    <w:rsid w:val="00EF6D7E"/>
    <w:rsid w:val="00EF6E69"/>
    <w:rsid w:val="00EF77D0"/>
    <w:rsid w:val="00EF7836"/>
    <w:rsid w:val="00EF790F"/>
    <w:rsid w:val="00F0022B"/>
    <w:rsid w:val="00F00C46"/>
    <w:rsid w:val="00F00CF0"/>
    <w:rsid w:val="00F0120C"/>
    <w:rsid w:val="00F01A11"/>
    <w:rsid w:val="00F01D2E"/>
    <w:rsid w:val="00F01ED9"/>
    <w:rsid w:val="00F02439"/>
    <w:rsid w:val="00F02DA9"/>
    <w:rsid w:val="00F02F9A"/>
    <w:rsid w:val="00F0317C"/>
    <w:rsid w:val="00F032F6"/>
    <w:rsid w:val="00F03395"/>
    <w:rsid w:val="00F0382C"/>
    <w:rsid w:val="00F03872"/>
    <w:rsid w:val="00F04BC6"/>
    <w:rsid w:val="00F04BE3"/>
    <w:rsid w:val="00F04CA6"/>
    <w:rsid w:val="00F051F2"/>
    <w:rsid w:val="00F056E1"/>
    <w:rsid w:val="00F05898"/>
    <w:rsid w:val="00F05C97"/>
    <w:rsid w:val="00F05CD7"/>
    <w:rsid w:val="00F06468"/>
    <w:rsid w:val="00F064B4"/>
    <w:rsid w:val="00F073B2"/>
    <w:rsid w:val="00F07570"/>
    <w:rsid w:val="00F104D4"/>
    <w:rsid w:val="00F1061B"/>
    <w:rsid w:val="00F10BD9"/>
    <w:rsid w:val="00F10F90"/>
    <w:rsid w:val="00F1125F"/>
    <w:rsid w:val="00F11647"/>
    <w:rsid w:val="00F11654"/>
    <w:rsid w:val="00F11CCF"/>
    <w:rsid w:val="00F12587"/>
    <w:rsid w:val="00F12DF5"/>
    <w:rsid w:val="00F132F9"/>
    <w:rsid w:val="00F1347C"/>
    <w:rsid w:val="00F134D5"/>
    <w:rsid w:val="00F139AA"/>
    <w:rsid w:val="00F13AA2"/>
    <w:rsid w:val="00F13CE9"/>
    <w:rsid w:val="00F14570"/>
    <w:rsid w:val="00F14A0A"/>
    <w:rsid w:val="00F153EA"/>
    <w:rsid w:val="00F1577F"/>
    <w:rsid w:val="00F15D45"/>
    <w:rsid w:val="00F15D49"/>
    <w:rsid w:val="00F16EEF"/>
    <w:rsid w:val="00F16F4A"/>
    <w:rsid w:val="00F17673"/>
    <w:rsid w:val="00F17EF2"/>
    <w:rsid w:val="00F201E6"/>
    <w:rsid w:val="00F2051E"/>
    <w:rsid w:val="00F208BF"/>
    <w:rsid w:val="00F20DFB"/>
    <w:rsid w:val="00F21091"/>
    <w:rsid w:val="00F217A3"/>
    <w:rsid w:val="00F21CE4"/>
    <w:rsid w:val="00F22485"/>
    <w:rsid w:val="00F227DB"/>
    <w:rsid w:val="00F22C57"/>
    <w:rsid w:val="00F22E28"/>
    <w:rsid w:val="00F23A26"/>
    <w:rsid w:val="00F23C3D"/>
    <w:rsid w:val="00F244C5"/>
    <w:rsid w:val="00F246ED"/>
    <w:rsid w:val="00F25D93"/>
    <w:rsid w:val="00F26188"/>
    <w:rsid w:val="00F262F4"/>
    <w:rsid w:val="00F267C2"/>
    <w:rsid w:val="00F2682E"/>
    <w:rsid w:val="00F268A3"/>
    <w:rsid w:val="00F274E1"/>
    <w:rsid w:val="00F27520"/>
    <w:rsid w:val="00F27B19"/>
    <w:rsid w:val="00F30B5C"/>
    <w:rsid w:val="00F30D5C"/>
    <w:rsid w:val="00F313E6"/>
    <w:rsid w:val="00F32006"/>
    <w:rsid w:val="00F3236C"/>
    <w:rsid w:val="00F32C7A"/>
    <w:rsid w:val="00F330C0"/>
    <w:rsid w:val="00F33B65"/>
    <w:rsid w:val="00F344A4"/>
    <w:rsid w:val="00F344BA"/>
    <w:rsid w:val="00F34CFF"/>
    <w:rsid w:val="00F3511E"/>
    <w:rsid w:val="00F35D50"/>
    <w:rsid w:val="00F3692D"/>
    <w:rsid w:val="00F36B7B"/>
    <w:rsid w:val="00F36D3E"/>
    <w:rsid w:val="00F3725E"/>
    <w:rsid w:val="00F37B9D"/>
    <w:rsid w:val="00F37D0B"/>
    <w:rsid w:val="00F41726"/>
    <w:rsid w:val="00F41994"/>
    <w:rsid w:val="00F41D32"/>
    <w:rsid w:val="00F41FAB"/>
    <w:rsid w:val="00F4205F"/>
    <w:rsid w:val="00F420BF"/>
    <w:rsid w:val="00F42A11"/>
    <w:rsid w:val="00F430FC"/>
    <w:rsid w:val="00F4333F"/>
    <w:rsid w:val="00F438BC"/>
    <w:rsid w:val="00F443E2"/>
    <w:rsid w:val="00F4450F"/>
    <w:rsid w:val="00F44765"/>
    <w:rsid w:val="00F45817"/>
    <w:rsid w:val="00F4614F"/>
    <w:rsid w:val="00F46938"/>
    <w:rsid w:val="00F46EAC"/>
    <w:rsid w:val="00F47034"/>
    <w:rsid w:val="00F47360"/>
    <w:rsid w:val="00F4748D"/>
    <w:rsid w:val="00F47501"/>
    <w:rsid w:val="00F47F3F"/>
    <w:rsid w:val="00F50569"/>
    <w:rsid w:val="00F50B92"/>
    <w:rsid w:val="00F50E2F"/>
    <w:rsid w:val="00F5194D"/>
    <w:rsid w:val="00F51997"/>
    <w:rsid w:val="00F51E0E"/>
    <w:rsid w:val="00F5224D"/>
    <w:rsid w:val="00F524ED"/>
    <w:rsid w:val="00F52CE2"/>
    <w:rsid w:val="00F52DF5"/>
    <w:rsid w:val="00F52F8D"/>
    <w:rsid w:val="00F531B6"/>
    <w:rsid w:val="00F53EF2"/>
    <w:rsid w:val="00F53FB9"/>
    <w:rsid w:val="00F54247"/>
    <w:rsid w:val="00F54A7E"/>
    <w:rsid w:val="00F553E9"/>
    <w:rsid w:val="00F55520"/>
    <w:rsid w:val="00F55EDE"/>
    <w:rsid w:val="00F560ED"/>
    <w:rsid w:val="00F5623B"/>
    <w:rsid w:val="00F56832"/>
    <w:rsid w:val="00F5714F"/>
    <w:rsid w:val="00F5722C"/>
    <w:rsid w:val="00F57778"/>
    <w:rsid w:val="00F579F9"/>
    <w:rsid w:val="00F57C46"/>
    <w:rsid w:val="00F57D69"/>
    <w:rsid w:val="00F57E4F"/>
    <w:rsid w:val="00F60420"/>
    <w:rsid w:val="00F606CC"/>
    <w:rsid w:val="00F6070C"/>
    <w:rsid w:val="00F60AA2"/>
    <w:rsid w:val="00F60C4A"/>
    <w:rsid w:val="00F61169"/>
    <w:rsid w:val="00F617F6"/>
    <w:rsid w:val="00F62609"/>
    <w:rsid w:val="00F6284E"/>
    <w:rsid w:val="00F6349F"/>
    <w:rsid w:val="00F6364E"/>
    <w:rsid w:val="00F639B9"/>
    <w:rsid w:val="00F63C3F"/>
    <w:rsid w:val="00F63CBC"/>
    <w:rsid w:val="00F63D5E"/>
    <w:rsid w:val="00F63E78"/>
    <w:rsid w:val="00F63F09"/>
    <w:rsid w:val="00F6451D"/>
    <w:rsid w:val="00F64E73"/>
    <w:rsid w:val="00F64F95"/>
    <w:rsid w:val="00F65033"/>
    <w:rsid w:val="00F652B5"/>
    <w:rsid w:val="00F65668"/>
    <w:rsid w:val="00F657A1"/>
    <w:rsid w:val="00F65E01"/>
    <w:rsid w:val="00F66434"/>
    <w:rsid w:val="00F6674D"/>
    <w:rsid w:val="00F66831"/>
    <w:rsid w:val="00F668EF"/>
    <w:rsid w:val="00F66AB5"/>
    <w:rsid w:val="00F67D13"/>
    <w:rsid w:val="00F70128"/>
    <w:rsid w:val="00F707A0"/>
    <w:rsid w:val="00F7087F"/>
    <w:rsid w:val="00F708CD"/>
    <w:rsid w:val="00F713A6"/>
    <w:rsid w:val="00F7166B"/>
    <w:rsid w:val="00F71817"/>
    <w:rsid w:val="00F71E1E"/>
    <w:rsid w:val="00F7257F"/>
    <w:rsid w:val="00F72988"/>
    <w:rsid w:val="00F72B41"/>
    <w:rsid w:val="00F72CE0"/>
    <w:rsid w:val="00F734CB"/>
    <w:rsid w:val="00F74E40"/>
    <w:rsid w:val="00F7533F"/>
    <w:rsid w:val="00F75384"/>
    <w:rsid w:val="00F755A9"/>
    <w:rsid w:val="00F758F3"/>
    <w:rsid w:val="00F75C5E"/>
    <w:rsid w:val="00F76026"/>
    <w:rsid w:val="00F766D2"/>
    <w:rsid w:val="00F76783"/>
    <w:rsid w:val="00F76DD5"/>
    <w:rsid w:val="00F7743E"/>
    <w:rsid w:val="00F8139E"/>
    <w:rsid w:val="00F81408"/>
    <w:rsid w:val="00F81521"/>
    <w:rsid w:val="00F819C8"/>
    <w:rsid w:val="00F81C8F"/>
    <w:rsid w:val="00F8223F"/>
    <w:rsid w:val="00F82373"/>
    <w:rsid w:val="00F82507"/>
    <w:rsid w:val="00F82E7D"/>
    <w:rsid w:val="00F82FB3"/>
    <w:rsid w:val="00F8382E"/>
    <w:rsid w:val="00F83C7C"/>
    <w:rsid w:val="00F83E39"/>
    <w:rsid w:val="00F845FD"/>
    <w:rsid w:val="00F84D00"/>
    <w:rsid w:val="00F8534D"/>
    <w:rsid w:val="00F8597F"/>
    <w:rsid w:val="00F860EB"/>
    <w:rsid w:val="00F867E8"/>
    <w:rsid w:val="00F86A00"/>
    <w:rsid w:val="00F8732C"/>
    <w:rsid w:val="00F9011F"/>
    <w:rsid w:val="00F904C4"/>
    <w:rsid w:val="00F90B70"/>
    <w:rsid w:val="00F91BDA"/>
    <w:rsid w:val="00F91D91"/>
    <w:rsid w:val="00F9223A"/>
    <w:rsid w:val="00F925EC"/>
    <w:rsid w:val="00F9276F"/>
    <w:rsid w:val="00F92868"/>
    <w:rsid w:val="00F9323B"/>
    <w:rsid w:val="00F932CA"/>
    <w:rsid w:val="00F93B24"/>
    <w:rsid w:val="00F93E91"/>
    <w:rsid w:val="00F93F79"/>
    <w:rsid w:val="00F945D6"/>
    <w:rsid w:val="00F94BB0"/>
    <w:rsid w:val="00F94C5C"/>
    <w:rsid w:val="00F957A0"/>
    <w:rsid w:val="00F96299"/>
    <w:rsid w:val="00F963CB"/>
    <w:rsid w:val="00F96783"/>
    <w:rsid w:val="00F96FBA"/>
    <w:rsid w:val="00F97184"/>
    <w:rsid w:val="00F97B22"/>
    <w:rsid w:val="00F97CA8"/>
    <w:rsid w:val="00F97FB7"/>
    <w:rsid w:val="00FA0A73"/>
    <w:rsid w:val="00FA0B83"/>
    <w:rsid w:val="00FA0E47"/>
    <w:rsid w:val="00FA10AD"/>
    <w:rsid w:val="00FA1411"/>
    <w:rsid w:val="00FA1F66"/>
    <w:rsid w:val="00FA2211"/>
    <w:rsid w:val="00FA268D"/>
    <w:rsid w:val="00FA2CFD"/>
    <w:rsid w:val="00FA2DED"/>
    <w:rsid w:val="00FA2E37"/>
    <w:rsid w:val="00FA30F7"/>
    <w:rsid w:val="00FA367D"/>
    <w:rsid w:val="00FA4416"/>
    <w:rsid w:val="00FA463B"/>
    <w:rsid w:val="00FA4A61"/>
    <w:rsid w:val="00FA4DD4"/>
    <w:rsid w:val="00FA57BF"/>
    <w:rsid w:val="00FA5C5D"/>
    <w:rsid w:val="00FA6193"/>
    <w:rsid w:val="00FA6F65"/>
    <w:rsid w:val="00FA7260"/>
    <w:rsid w:val="00FA72F4"/>
    <w:rsid w:val="00FA7C64"/>
    <w:rsid w:val="00FB04B2"/>
    <w:rsid w:val="00FB0B34"/>
    <w:rsid w:val="00FB0C2B"/>
    <w:rsid w:val="00FB15D8"/>
    <w:rsid w:val="00FB1D02"/>
    <w:rsid w:val="00FB1E7C"/>
    <w:rsid w:val="00FB1EB7"/>
    <w:rsid w:val="00FB1ED8"/>
    <w:rsid w:val="00FB21BA"/>
    <w:rsid w:val="00FB24D2"/>
    <w:rsid w:val="00FB2665"/>
    <w:rsid w:val="00FB28A0"/>
    <w:rsid w:val="00FB2960"/>
    <w:rsid w:val="00FB3CA8"/>
    <w:rsid w:val="00FB3D70"/>
    <w:rsid w:val="00FB3FFA"/>
    <w:rsid w:val="00FB41B3"/>
    <w:rsid w:val="00FB48D3"/>
    <w:rsid w:val="00FB4FF6"/>
    <w:rsid w:val="00FB52AB"/>
    <w:rsid w:val="00FB5455"/>
    <w:rsid w:val="00FB5FD8"/>
    <w:rsid w:val="00FB603F"/>
    <w:rsid w:val="00FB6FA7"/>
    <w:rsid w:val="00FB715E"/>
    <w:rsid w:val="00FB75D9"/>
    <w:rsid w:val="00FB7B98"/>
    <w:rsid w:val="00FC01C1"/>
    <w:rsid w:val="00FC0663"/>
    <w:rsid w:val="00FC079B"/>
    <w:rsid w:val="00FC0D08"/>
    <w:rsid w:val="00FC1298"/>
    <w:rsid w:val="00FC1922"/>
    <w:rsid w:val="00FC1FD5"/>
    <w:rsid w:val="00FC1FE6"/>
    <w:rsid w:val="00FC2155"/>
    <w:rsid w:val="00FC2954"/>
    <w:rsid w:val="00FC2B7D"/>
    <w:rsid w:val="00FC2BDC"/>
    <w:rsid w:val="00FC2D9D"/>
    <w:rsid w:val="00FC2DB2"/>
    <w:rsid w:val="00FC3476"/>
    <w:rsid w:val="00FC39A3"/>
    <w:rsid w:val="00FC3AC6"/>
    <w:rsid w:val="00FC3DA6"/>
    <w:rsid w:val="00FC450F"/>
    <w:rsid w:val="00FC4513"/>
    <w:rsid w:val="00FC46F4"/>
    <w:rsid w:val="00FC55B2"/>
    <w:rsid w:val="00FC5611"/>
    <w:rsid w:val="00FC59D1"/>
    <w:rsid w:val="00FC5B1C"/>
    <w:rsid w:val="00FC70E2"/>
    <w:rsid w:val="00FC7771"/>
    <w:rsid w:val="00FC7EB0"/>
    <w:rsid w:val="00FD09D6"/>
    <w:rsid w:val="00FD0FAB"/>
    <w:rsid w:val="00FD150E"/>
    <w:rsid w:val="00FD19BB"/>
    <w:rsid w:val="00FD25BA"/>
    <w:rsid w:val="00FD2D3F"/>
    <w:rsid w:val="00FD2ECD"/>
    <w:rsid w:val="00FD307B"/>
    <w:rsid w:val="00FD3B96"/>
    <w:rsid w:val="00FD3FCE"/>
    <w:rsid w:val="00FD41F7"/>
    <w:rsid w:val="00FD4214"/>
    <w:rsid w:val="00FD54CC"/>
    <w:rsid w:val="00FD5EC6"/>
    <w:rsid w:val="00FD6430"/>
    <w:rsid w:val="00FD66F0"/>
    <w:rsid w:val="00FD6FE2"/>
    <w:rsid w:val="00FD78D7"/>
    <w:rsid w:val="00FE0143"/>
    <w:rsid w:val="00FE02D4"/>
    <w:rsid w:val="00FE035A"/>
    <w:rsid w:val="00FE06D4"/>
    <w:rsid w:val="00FE0F20"/>
    <w:rsid w:val="00FE1357"/>
    <w:rsid w:val="00FE1829"/>
    <w:rsid w:val="00FE1FC5"/>
    <w:rsid w:val="00FE3073"/>
    <w:rsid w:val="00FE3339"/>
    <w:rsid w:val="00FE347C"/>
    <w:rsid w:val="00FE39A6"/>
    <w:rsid w:val="00FE3B58"/>
    <w:rsid w:val="00FE3CCF"/>
    <w:rsid w:val="00FE3E1A"/>
    <w:rsid w:val="00FE3F22"/>
    <w:rsid w:val="00FE4F6A"/>
    <w:rsid w:val="00FE4FCC"/>
    <w:rsid w:val="00FE54E4"/>
    <w:rsid w:val="00FE57B7"/>
    <w:rsid w:val="00FE5D7F"/>
    <w:rsid w:val="00FE70BC"/>
    <w:rsid w:val="00FE74DA"/>
    <w:rsid w:val="00FE74E8"/>
    <w:rsid w:val="00FE76D7"/>
    <w:rsid w:val="00FE7DF1"/>
    <w:rsid w:val="00FE7FDC"/>
    <w:rsid w:val="00FF028C"/>
    <w:rsid w:val="00FF0540"/>
    <w:rsid w:val="00FF09CC"/>
    <w:rsid w:val="00FF0A98"/>
    <w:rsid w:val="00FF0C24"/>
    <w:rsid w:val="00FF0F74"/>
    <w:rsid w:val="00FF17B2"/>
    <w:rsid w:val="00FF44A3"/>
    <w:rsid w:val="00FF48A8"/>
    <w:rsid w:val="00FF5439"/>
    <w:rsid w:val="00FF55CF"/>
    <w:rsid w:val="00FF5741"/>
    <w:rsid w:val="00FF57C8"/>
    <w:rsid w:val="00FF5A3A"/>
    <w:rsid w:val="00FF5DC7"/>
    <w:rsid w:val="00FF6B7A"/>
    <w:rsid w:val="00FF6BB9"/>
    <w:rsid w:val="00FF7073"/>
    <w:rsid w:val="00FF718B"/>
    <w:rsid w:val="00FF7AFA"/>
    <w:rsid w:val="09D4008F"/>
    <w:rsid w:val="13FF30FD"/>
    <w:rsid w:val="17DF6B54"/>
    <w:rsid w:val="17FDC0B9"/>
    <w:rsid w:val="1CFF20A0"/>
    <w:rsid w:val="236D4760"/>
    <w:rsid w:val="2A8618F5"/>
    <w:rsid w:val="2BF1A85E"/>
    <w:rsid w:val="2CEADF2A"/>
    <w:rsid w:val="2E870377"/>
    <w:rsid w:val="2FDFBAB1"/>
    <w:rsid w:val="3A370653"/>
    <w:rsid w:val="3ADA8C0B"/>
    <w:rsid w:val="3B7F6834"/>
    <w:rsid w:val="3CFD4D30"/>
    <w:rsid w:val="3D55E718"/>
    <w:rsid w:val="3DFF3C97"/>
    <w:rsid w:val="3F3BA6B1"/>
    <w:rsid w:val="3F67D40B"/>
    <w:rsid w:val="3FAF0286"/>
    <w:rsid w:val="46D35BED"/>
    <w:rsid w:val="4D581E80"/>
    <w:rsid w:val="4DDEE193"/>
    <w:rsid w:val="4FFBF388"/>
    <w:rsid w:val="50757EB0"/>
    <w:rsid w:val="557F0D16"/>
    <w:rsid w:val="5A6B2C11"/>
    <w:rsid w:val="5B59C60C"/>
    <w:rsid w:val="5B741FDF"/>
    <w:rsid w:val="5B7F1C20"/>
    <w:rsid w:val="5CFBEADE"/>
    <w:rsid w:val="5F153C0A"/>
    <w:rsid w:val="5F3EF914"/>
    <w:rsid w:val="5F7DA50A"/>
    <w:rsid w:val="5F9B00AA"/>
    <w:rsid w:val="5FEA4C50"/>
    <w:rsid w:val="5FED0A1E"/>
    <w:rsid w:val="5FEE2841"/>
    <w:rsid w:val="62297B44"/>
    <w:rsid w:val="67EF9DE5"/>
    <w:rsid w:val="6B5A01F1"/>
    <w:rsid w:val="6F5E28F5"/>
    <w:rsid w:val="6F74ED39"/>
    <w:rsid w:val="6FD3B3D3"/>
    <w:rsid w:val="6FF39CB9"/>
    <w:rsid w:val="6FF59BBE"/>
    <w:rsid w:val="71DA7703"/>
    <w:rsid w:val="732BC58E"/>
    <w:rsid w:val="7478A667"/>
    <w:rsid w:val="76ED75A5"/>
    <w:rsid w:val="76EFBBFE"/>
    <w:rsid w:val="76FCE424"/>
    <w:rsid w:val="77759F69"/>
    <w:rsid w:val="77B71D35"/>
    <w:rsid w:val="77BB17E3"/>
    <w:rsid w:val="77EBC4B4"/>
    <w:rsid w:val="78F38E36"/>
    <w:rsid w:val="79FA13D4"/>
    <w:rsid w:val="7A7FD592"/>
    <w:rsid w:val="7AF91D84"/>
    <w:rsid w:val="7B7B4B7E"/>
    <w:rsid w:val="7BDF5870"/>
    <w:rsid w:val="7BF2047D"/>
    <w:rsid w:val="7BFB254C"/>
    <w:rsid w:val="7BFF1130"/>
    <w:rsid w:val="7C4FCD22"/>
    <w:rsid w:val="7C7B56CB"/>
    <w:rsid w:val="7CBD1484"/>
    <w:rsid w:val="7CFDBCB7"/>
    <w:rsid w:val="7D49BAB8"/>
    <w:rsid w:val="7D6E7CF5"/>
    <w:rsid w:val="7D7729CB"/>
    <w:rsid w:val="7DB978DE"/>
    <w:rsid w:val="7DBD0D20"/>
    <w:rsid w:val="7DEF3833"/>
    <w:rsid w:val="7EB8E200"/>
    <w:rsid w:val="7ED3179C"/>
    <w:rsid w:val="7F2FD9F0"/>
    <w:rsid w:val="7F7F5C9D"/>
    <w:rsid w:val="7FBFE5BC"/>
    <w:rsid w:val="7FD339F5"/>
    <w:rsid w:val="7FE7BDCD"/>
    <w:rsid w:val="7FFAD652"/>
    <w:rsid w:val="7FFF174A"/>
    <w:rsid w:val="7FFF614E"/>
    <w:rsid w:val="9B3DC4CB"/>
    <w:rsid w:val="9DF7AF94"/>
    <w:rsid w:val="9F3B7153"/>
    <w:rsid w:val="9F3FCC6C"/>
    <w:rsid w:val="9FE38941"/>
    <w:rsid w:val="9FF5C126"/>
    <w:rsid w:val="A53FE396"/>
    <w:rsid w:val="AB3FA7CF"/>
    <w:rsid w:val="ADCEC435"/>
    <w:rsid w:val="AFD2A843"/>
    <w:rsid w:val="B4F7CB56"/>
    <w:rsid w:val="B50FC413"/>
    <w:rsid w:val="B76F25F2"/>
    <w:rsid w:val="BBBC1612"/>
    <w:rsid w:val="BDBF2D34"/>
    <w:rsid w:val="BF3FF270"/>
    <w:rsid w:val="BFDF98D6"/>
    <w:rsid w:val="BFE592F7"/>
    <w:rsid w:val="C3BF241E"/>
    <w:rsid w:val="CC1F7C22"/>
    <w:rsid w:val="CCDD404B"/>
    <w:rsid w:val="CEE674CE"/>
    <w:rsid w:val="D2BF56D4"/>
    <w:rsid w:val="D5B7A9C2"/>
    <w:rsid w:val="D5FF2712"/>
    <w:rsid w:val="D5FFFF8F"/>
    <w:rsid w:val="D7D7496D"/>
    <w:rsid w:val="D7F5752B"/>
    <w:rsid w:val="DAA7BD6A"/>
    <w:rsid w:val="DAFCC9DF"/>
    <w:rsid w:val="DBFBBCB3"/>
    <w:rsid w:val="DD7DD0C4"/>
    <w:rsid w:val="DDFCFA2C"/>
    <w:rsid w:val="E9EAF4BE"/>
    <w:rsid w:val="EBF4E5C4"/>
    <w:rsid w:val="EBFF10E6"/>
    <w:rsid w:val="EDFF1BEF"/>
    <w:rsid w:val="EF174799"/>
    <w:rsid w:val="EFDE8778"/>
    <w:rsid w:val="EFEE73C1"/>
    <w:rsid w:val="EFFB4835"/>
    <w:rsid w:val="EFFF67B9"/>
    <w:rsid w:val="F2C96BE5"/>
    <w:rsid w:val="F357A0E8"/>
    <w:rsid w:val="F3DBAAF0"/>
    <w:rsid w:val="F5DDB164"/>
    <w:rsid w:val="F5FFC489"/>
    <w:rsid w:val="F6FD0298"/>
    <w:rsid w:val="F79F7EAA"/>
    <w:rsid w:val="F7D3219A"/>
    <w:rsid w:val="F7DF7C9D"/>
    <w:rsid w:val="F7FF183A"/>
    <w:rsid w:val="F7FF77FF"/>
    <w:rsid w:val="F9F2E7ED"/>
    <w:rsid w:val="FBBF63A1"/>
    <w:rsid w:val="FD9EE33D"/>
    <w:rsid w:val="FF371D3A"/>
    <w:rsid w:val="FF4FEA21"/>
    <w:rsid w:val="FFA48B37"/>
    <w:rsid w:val="FFBD9987"/>
    <w:rsid w:val="FFBF02FE"/>
    <w:rsid w:val="FFBFB4DC"/>
    <w:rsid w:val="FFDF763B"/>
    <w:rsid w:val="FFEF5598"/>
    <w:rsid w:val="FFEFD97F"/>
    <w:rsid w:val="FFFD9F04"/>
    <w:rsid w:val="FFFF85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0" w:semiHidden="0" w:name="annotation text"/>
    <w:lsdException w:qFormat="1"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30"/>
    <w:qFormat/>
    <w:uiPriority w:val="9"/>
    <w:pPr>
      <w:keepNext/>
      <w:keepLines/>
      <w:widowControl/>
      <w:spacing w:before="340" w:after="330" w:line="578" w:lineRule="auto"/>
      <w:outlineLvl w:val="0"/>
    </w:pPr>
    <w:rPr>
      <w:b/>
      <w:bCs/>
      <w:kern w:val="44"/>
      <w:sz w:val="44"/>
      <w:szCs w:val="44"/>
    </w:rPr>
  </w:style>
  <w:style w:type="paragraph" w:styleId="4">
    <w:name w:val="heading 2"/>
    <w:basedOn w:val="1"/>
    <w:next w:val="1"/>
    <w:link w:val="34"/>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4"/>
    <w:unhideWhenUsed/>
    <w:qFormat/>
    <w:uiPriority w:val="9"/>
    <w:pPr>
      <w:keepNext/>
      <w:keepLines/>
      <w:spacing w:before="260" w:after="260" w:line="416" w:lineRule="auto"/>
      <w:outlineLvl w:val="2"/>
    </w:pPr>
    <w:rPr>
      <w:b/>
      <w:bCs/>
      <w:sz w:val="32"/>
      <w:szCs w:val="32"/>
    </w:rPr>
  </w:style>
  <w:style w:type="paragraph" w:styleId="6">
    <w:name w:val="heading 4"/>
    <w:basedOn w:val="1"/>
    <w:next w:val="1"/>
    <w:link w:val="45"/>
    <w:unhideWhenUsed/>
    <w:qFormat/>
    <w:uiPriority w:val="9"/>
    <w:pPr>
      <w:keepNext/>
      <w:keepLines/>
      <w:spacing w:before="280" w:after="290" w:line="376" w:lineRule="auto"/>
      <w:ind w:left="864" w:hanging="864"/>
      <w:outlineLvl w:val="3"/>
    </w:pPr>
    <w:rPr>
      <w:rFonts w:asciiTheme="majorHAnsi" w:hAnsiTheme="majorHAnsi" w:eastAsiaTheme="majorEastAsia" w:cstheme="majorBidi"/>
      <w:b/>
      <w:bCs/>
      <w:sz w:val="28"/>
      <w:szCs w:val="28"/>
    </w:rPr>
  </w:style>
  <w:style w:type="paragraph" w:styleId="7">
    <w:name w:val="heading 5"/>
    <w:basedOn w:val="1"/>
    <w:next w:val="1"/>
    <w:link w:val="46"/>
    <w:semiHidden/>
    <w:unhideWhenUsed/>
    <w:qFormat/>
    <w:uiPriority w:val="9"/>
    <w:pPr>
      <w:keepNext/>
      <w:keepLines/>
      <w:spacing w:before="280" w:after="290" w:line="376" w:lineRule="auto"/>
      <w:ind w:left="1008" w:hanging="1008"/>
      <w:outlineLvl w:val="4"/>
    </w:pPr>
    <w:rPr>
      <w:b/>
      <w:bCs/>
      <w:sz w:val="28"/>
      <w:szCs w:val="28"/>
    </w:rPr>
  </w:style>
  <w:style w:type="paragraph" w:styleId="8">
    <w:name w:val="heading 6"/>
    <w:basedOn w:val="1"/>
    <w:next w:val="1"/>
    <w:link w:val="47"/>
    <w:semiHidden/>
    <w:unhideWhenUsed/>
    <w:qFormat/>
    <w:uiPriority w:val="9"/>
    <w:pPr>
      <w:keepNext/>
      <w:keepLines/>
      <w:spacing w:before="240" w:after="64" w:line="320" w:lineRule="auto"/>
      <w:ind w:left="1152" w:hanging="1152"/>
      <w:outlineLvl w:val="5"/>
    </w:pPr>
    <w:rPr>
      <w:rFonts w:asciiTheme="majorHAnsi" w:hAnsiTheme="majorHAnsi" w:eastAsiaTheme="majorEastAsia" w:cstheme="majorBidi"/>
      <w:b/>
      <w:bCs/>
      <w:sz w:val="24"/>
      <w:szCs w:val="24"/>
    </w:rPr>
  </w:style>
  <w:style w:type="paragraph" w:styleId="9">
    <w:name w:val="heading 7"/>
    <w:basedOn w:val="1"/>
    <w:next w:val="1"/>
    <w:link w:val="48"/>
    <w:semiHidden/>
    <w:unhideWhenUsed/>
    <w:qFormat/>
    <w:uiPriority w:val="9"/>
    <w:pPr>
      <w:keepNext/>
      <w:keepLines/>
      <w:spacing w:before="240" w:after="64" w:line="320" w:lineRule="auto"/>
      <w:ind w:left="1296" w:hanging="1296"/>
      <w:outlineLvl w:val="6"/>
    </w:pPr>
    <w:rPr>
      <w:b/>
      <w:bCs/>
      <w:sz w:val="24"/>
      <w:szCs w:val="24"/>
    </w:rPr>
  </w:style>
  <w:style w:type="paragraph" w:styleId="10">
    <w:name w:val="heading 8"/>
    <w:basedOn w:val="1"/>
    <w:next w:val="1"/>
    <w:link w:val="49"/>
    <w:semiHidden/>
    <w:unhideWhenUsed/>
    <w:qFormat/>
    <w:uiPriority w:val="9"/>
    <w:pPr>
      <w:keepNext/>
      <w:keepLines/>
      <w:spacing w:before="240" w:after="64" w:line="320" w:lineRule="auto"/>
      <w:ind w:left="1440" w:hanging="1440"/>
      <w:outlineLvl w:val="7"/>
    </w:pPr>
    <w:rPr>
      <w:rFonts w:asciiTheme="majorHAnsi" w:hAnsiTheme="majorHAnsi" w:eastAsiaTheme="majorEastAsia" w:cstheme="majorBidi"/>
      <w:sz w:val="24"/>
      <w:szCs w:val="24"/>
    </w:rPr>
  </w:style>
  <w:style w:type="paragraph" w:styleId="11">
    <w:name w:val="heading 9"/>
    <w:basedOn w:val="1"/>
    <w:next w:val="1"/>
    <w:link w:val="50"/>
    <w:semiHidden/>
    <w:unhideWhenUsed/>
    <w:qFormat/>
    <w:uiPriority w:val="9"/>
    <w:pPr>
      <w:keepNext/>
      <w:keepLines/>
      <w:spacing w:before="240" w:after="64" w:line="320" w:lineRule="auto"/>
      <w:ind w:left="1584" w:hanging="1584"/>
      <w:outlineLvl w:val="8"/>
    </w:pPr>
    <w:rPr>
      <w:rFonts w:asciiTheme="majorHAnsi" w:hAnsiTheme="majorHAnsi" w:eastAsiaTheme="majorEastAsia" w:cstheme="majorBidi"/>
      <w:szCs w:val="21"/>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cs="Times New Roman"/>
    </w:rPr>
  </w:style>
  <w:style w:type="paragraph" w:styleId="12">
    <w:name w:val="Normal Indent"/>
    <w:basedOn w:val="1"/>
    <w:unhideWhenUsed/>
    <w:qFormat/>
    <w:uiPriority w:val="99"/>
    <w:pPr>
      <w:ind w:firstLine="420" w:firstLineChars="200"/>
    </w:pPr>
    <w:rPr>
      <w:rFonts w:ascii="仿宋_GB2312" w:hAnsi="Calibri" w:eastAsia="仿宋_GB2312" w:cs="Times New Roman"/>
    </w:rPr>
  </w:style>
  <w:style w:type="paragraph" w:styleId="13">
    <w:name w:val="annotation text"/>
    <w:basedOn w:val="1"/>
    <w:link w:val="36"/>
    <w:qFormat/>
    <w:uiPriority w:val="0"/>
    <w:pPr>
      <w:jc w:val="left"/>
    </w:pPr>
    <w:rPr>
      <w:rFonts w:ascii="Calibri" w:hAnsi="Calibri" w:eastAsia="宋体" w:cs="Times New Roman"/>
      <w:szCs w:val="24"/>
    </w:rPr>
  </w:style>
  <w:style w:type="paragraph" w:styleId="14">
    <w:name w:val="toc 3"/>
    <w:basedOn w:val="1"/>
    <w:next w:val="1"/>
    <w:unhideWhenUsed/>
    <w:qFormat/>
    <w:uiPriority w:val="39"/>
    <w:pPr>
      <w:ind w:left="840" w:leftChars="400"/>
    </w:pPr>
  </w:style>
  <w:style w:type="paragraph" w:styleId="15">
    <w:name w:val="Balloon Text"/>
    <w:basedOn w:val="1"/>
    <w:link w:val="37"/>
    <w:unhideWhenUsed/>
    <w:qFormat/>
    <w:uiPriority w:val="99"/>
    <w:rPr>
      <w:rFonts w:ascii="Times New Roman" w:hAnsi="Times New Roman" w:eastAsia="宋体" w:cs="Times New Roman"/>
      <w:sz w:val="18"/>
      <w:szCs w:val="18"/>
    </w:rPr>
  </w:style>
  <w:style w:type="paragraph" w:styleId="16">
    <w:name w:val="footer"/>
    <w:basedOn w:val="1"/>
    <w:link w:val="35"/>
    <w:qFormat/>
    <w:uiPriority w:val="99"/>
    <w:pPr>
      <w:tabs>
        <w:tab w:val="center" w:pos="4153"/>
        <w:tab w:val="right" w:pos="8306"/>
      </w:tabs>
      <w:snapToGrid w:val="0"/>
      <w:jc w:val="left"/>
    </w:pPr>
    <w:rPr>
      <w:rFonts w:ascii="Calibri" w:hAnsi="Calibri" w:eastAsia="宋体" w:cs="Times New Roman"/>
      <w:sz w:val="18"/>
      <w:szCs w:val="18"/>
    </w:rPr>
  </w:style>
  <w:style w:type="paragraph" w:styleId="17">
    <w:name w:val="header"/>
    <w:basedOn w:val="1"/>
    <w:link w:val="58"/>
    <w:unhideWhenUsed/>
    <w:qFormat/>
    <w:uiPriority w:val="0"/>
    <w:pPr>
      <w:tabs>
        <w:tab w:val="center" w:pos="4153"/>
        <w:tab w:val="right" w:pos="8306"/>
      </w:tabs>
      <w:snapToGrid w:val="0"/>
      <w:jc w:val="center"/>
    </w:pPr>
    <w:rPr>
      <w:sz w:val="18"/>
      <w:szCs w:val="18"/>
    </w:rPr>
  </w:style>
  <w:style w:type="paragraph" w:styleId="18">
    <w:name w:val="toc 1"/>
    <w:basedOn w:val="1"/>
    <w:next w:val="1"/>
    <w:unhideWhenUsed/>
    <w:qFormat/>
    <w:uiPriority w:val="39"/>
    <w:pPr>
      <w:tabs>
        <w:tab w:val="right" w:leader="dot" w:pos="8296"/>
      </w:tabs>
      <w:spacing w:line="360" w:lineRule="auto"/>
    </w:pPr>
    <w:rPr>
      <w:rFonts w:ascii="Times New Roman" w:hAnsi="Times New Roman" w:eastAsia="仿宋" w:cs="Times New Roman"/>
      <w:b/>
      <w:bCs/>
      <w:sz w:val="30"/>
      <w:szCs w:val="30"/>
    </w:rPr>
  </w:style>
  <w:style w:type="paragraph" w:styleId="19">
    <w:name w:val="toc 2"/>
    <w:basedOn w:val="1"/>
    <w:next w:val="1"/>
    <w:unhideWhenUsed/>
    <w:qFormat/>
    <w:uiPriority w:val="39"/>
    <w:pPr>
      <w:ind w:left="420" w:leftChars="200"/>
    </w:pPr>
  </w:style>
  <w:style w:type="paragraph" w:styleId="20">
    <w:name w:val="HTML Preformatted"/>
    <w:basedOn w:val="1"/>
    <w:qFormat/>
    <w:uiPriority w:val="0"/>
    <w:pPr>
      <w:jc w:val="left"/>
    </w:pPr>
    <w:rPr>
      <w:rFonts w:hint="eastAsia" w:ascii="宋体" w:hAnsi="宋体" w:eastAsia="宋体" w:cs="宋体"/>
      <w:kern w:val="0"/>
      <w:sz w:val="24"/>
      <w:szCs w:val="24"/>
      <w:lang w:val="en-US" w:eastAsia="zh-CN" w:bidi="ar"/>
    </w:rPr>
  </w:style>
  <w:style w:type="paragraph" w:styleId="21">
    <w:name w:val="Normal (Web)"/>
    <w:basedOn w:val="1"/>
    <w:qFormat/>
    <w:uiPriority w:val="99"/>
    <w:pPr>
      <w:spacing w:beforeAutospacing="1" w:afterAutospacing="1"/>
      <w:jc w:val="left"/>
    </w:pPr>
    <w:rPr>
      <w:rFonts w:cs="Times New Roman"/>
      <w:kern w:val="0"/>
      <w:sz w:val="24"/>
      <w:szCs w:val="24"/>
    </w:rPr>
  </w:style>
  <w:style w:type="paragraph" w:styleId="22">
    <w:name w:val="annotation subject"/>
    <w:basedOn w:val="13"/>
    <w:next w:val="13"/>
    <w:link w:val="56"/>
    <w:semiHidden/>
    <w:unhideWhenUsed/>
    <w:qFormat/>
    <w:uiPriority w:val="99"/>
    <w:rPr>
      <w:rFonts w:asciiTheme="minorHAnsi" w:hAnsiTheme="minorHAnsi" w:eastAsiaTheme="minorEastAsia" w:cstheme="minorBidi"/>
      <w:b/>
      <w:bCs/>
      <w:szCs w:val="22"/>
    </w:rPr>
  </w:style>
  <w:style w:type="table" w:styleId="24">
    <w:name w:val="Table Grid"/>
    <w:basedOn w:val="2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22"/>
    <w:rPr>
      <w:b/>
      <w:bCs/>
    </w:rPr>
  </w:style>
  <w:style w:type="character" w:styleId="27">
    <w:name w:val="Emphasis"/>
    <w:basedOn w:val="25"/>
    <w:qFormat/>
    <w:uiPriority w:val="20"/>
    <w:rPr>
      <w:i/>
      <w:iCs/>
    </w:rPr>
  </w:style>
  <w:style w:type="character" w:styleId="28">
    <w:name w:val="Hyperlink"/>
    <w:basedOn w:val="25"/>
    <w:unhideWhenUsed/>
    <w:qFormat/>
    <w:uiPriority w:val="99"/>
    <w:rPr>
      <w:color w:val="0000FF"/>
      <w:u w:val="single"/>
    </w:rPr>
  </w:style>
  <w:style w:type="character" w:styleId="29">
    <w:name w:val="annotation reference"/>
    <w:qFormat/>
    <w:uiPriority w:val="0"/>
    <w:rPr>
      <w:sz w:val="21"/>
      <w:szCs w:val="21"/>
    </w:rPr>
  </w:style>
  <w:style w:type="character" w:customStyle="1" w:styleId="30">
    <w:name w:val="标题 1 字符"/>
    <w:basedOn w:val="25"/>
    <w:link w:val="3"/>
    <w:qFormat/>
    <w:uiPriority w:val="9"/>
    <w:rPr>
      <w:b/>
      <w:bCs/>
      <w:kern w:val="44"/>
      <w:sz w:val="44"/>
      <w:szCs w:val="44"/>
    </w:rPr>
  </w:style>
  <w:style w:type="paragraph" w:customStyle="1" w:styleId="31">
    <w:name w:val="样式1"/>
    <w:basedOn w:val="1"/>
    <w:next w:val="3"/>
    <w:link w:val="32"/>
    <w:qFormat/>
    <w:uiPriority w:val="0"/>
    <w:pPr>
      <w:widowControl/>
      <w:spacing w:line="560" w:lineRule="exact"/>
      <w:ind w:firstLine="640" w:firstLineChars="200"/>
    </w:pPr>
    <w:rPr>
      <w:rFonts w:ascii="Times New Roman" w:hAnsi="Times New Roman" w:eastAsia="黑体" w:cs="Times New Roman"/>
      <w:color w:val="000000"/>
      <w:sz w:val="36"/>
      <w:szCs w:val="32"/>
    </w:rPr>
  </w:style>
  <w:style w:type="character" w:customStyle="1" w:styleId="32">
    <w:name w:val="样式1 字符"/>
    <w:basedOn w:val="25"/>
    <w:link w:val="31"/>
    <w:qFormat/>
    <w:uiPriority w:val="0"/>
    <w:rPr>
      <w:rFonts w:ascii="Times New Roman" w:hAnsi="Times New Roman" w:eastAsia="黑体" w:cs="Times New Roman"/>
      <w:color w:val="000000"/>
      <w:sz w:val="36"/>
      <w:szCs w:val="32"/>
    </w:rPr>
  </w:style>
  <w:style w:type="paragraph" w:styleId="33">
    <w:name w:val="List Paragraph"/>
    <w:basedOn w:val="1"/>
    <w:qFormat/>
    <w:uiPriority w:val="34"/>
    <w:pPr>
      <w:widowControl/>
      <w:ind w:firstLine="420" w:firstLineChars="200"/>
      <w:jc w:val="left"/>
    </w:pPr>
    <w:rPr>
      <w:rFonts w:ascii="宋体" w:hAnsi="宋体" w:eastAsia="宋体" w:cs="宋体"/>
      <w:kern w:val="0"/>
      <w:sz w:val="24"/>
      <w:szCs w:val="24"/>
    </w:rPr>
  </w:style>
  <w:style w:type="character" w:customStyle="1" w:styleId="34">
    <w:name w:val="标题 2 字符"/>
    <w:basedOn w:val="25"/>
    <w:link w:val="4"/>
    <w:qFormat/>
    <w:uiPriority w:val="9"/>
    <w:rPr>
      <w:rFonts w:asciiTheme="majorHAnsi" w:hAnsiTheme="majorHAnsi" w:eastAsiaTheme="majorEastAsia" w:cstheme="majorBidi"/>
      <w:b/>
      <w:bCs/>
      <w:sz w:val="32"/>
      <w:szCs w:val="32"/>
    </w:rPr>
  </w:style>
  <w:style w:type="character" w:customStyle="1" w:styleId="35">
    <w:name w:val="页脚 字符"/>
    <w:basedOn w:val="25"/>
    <w:link w:val="16"/>
    <w:qFormat/>
    <w:uiPriority w:val="99"/>
    <w:rPr>
      <w:rFonts w:ascii="Calibri" w:hAnsi="Calibri" w:eastAsia="宋体" w:cs="Times New Roman"/>
      <w:sz w:val="18"/>
      <w:szCs w:val="18"/>
    </w:rPr>
  </w:style>
  <w:style w:type="character" w:customStyle="1" w:styleId="36">
    <w:name w:val="批注文字 字符"/>
    <w:basedOn w:val="25"/>
    <w:link w:val="13"/>
    <w:qFormat/>
    <w:uiPriority w:val="0"/>
    <w:rPr>
      <w:rFonts w:ascii="Calibri" w:hAnsi="Calibri" w:eastAsia="宋体" w:cs="Times New Roman"/>
      <w:szCs w:val="24"/>
    </w:rPr>
  </w:style>
  <w:style w:type="character" w:customStyle="1" w:styleId="37">
    <w:name w:val="批注框文本 字符"/>
    <w:basedOn w:val="25"/>
    <w:link w:val="15"/>
    <w:qFormat/>
    <w:uiPriority w:val="99"/>
    <w:rPr>
      <w:rFonts w:ascii="Times New Roman" w:hAnsi="Times New Roman" w:eastAsia="宋体" w:cs="Times New Roman"/>
      <w:sz w:val="18"/>
      <w:szCs w:val="18"/>
    </w:rPr>
  </w:style>
  <w:style w:type="character" w:customStyle="1" w:styleId="38">
    <w:name w:val="不明显强调1"/>
    <w:basedOn w:val="25"/>
    <w:qFormat/>
    <w:uiPriority w:val="19"/>
    <w:rPr>
      <w:i/>
      <w:iCs/>
      <w:color w:val="404040" w:themeColor="text1" w:themeTint="BF"/>
      <w14:textFill>
        <w14:solidFill>
          <w14:schemeClr w14:val="tx1">
            <w14:lumMod w14:val="75000"/>
            <w14:lumOff w14:val="25000"/>
          </w14:schemeClr>
        </w14:solidFill>
      </w14:textFill>
    </w:rPr>
  </w:style>
  <w:style w:type="character" w:customStyle="1" w:styleId="39">
    <w:name w:val="gray"/>
    <w:basedOn w:val="25"/>
    <w:qFormat/>
    <w:uiPriority w:val="0"/>
  </w:style>
  <w:style w:type="paragraph" w:customStyle="1" w:styleId="40">
    <w:name w:val="一般正文"/>
    <w:basedOn w:val="1"/>
    <w:link w:val="41"/>
    <w:qFormat/>
    <w:uiPriority w:val="0"/>
    <w:pPr>
      <w:autoSpaceDE w:val="0"/>
      <w:autoSpaceDN w:val="0"/>
      <w:spacing w:line="400" w:lineRule="exact"/>
    </w:pPr>
    <w:rPr>
      <w:rFonts w:ascii="仿宋" w:hAnsi="仿宋" w:eastAsia="仿宋" w:cs="Times New Roman"/>
      <w:kern w:val="0"/>
      <w:sz w:val="28"/>
      <w:szCs w:val="28"/>
    </w:rPr>
  </w:style>
  <w:style w:type="character" w:customStyle="1" w:styleId="41">
    <w:name w:val="一般正文字符"/>
    <w:link w:val="40"/>
    <w:qFormat/>
    <w:uiPriority w:val="0"/>
    <w:rPr>
      <w:rFonts w:ascii="仿宋" w:hAnsi="仿宋" w:eastAsia="仿宋" w:cs="Times New Roman"/>
      <w:kern w:val="0"/>
      <w:sz w:val="28"/>
      <w:szCs w:val="28"/>
    </w:rPr>
  </w:style>
  <w:style w:type="paragraph" w:customStyle="1" w:styleId="42">
    <w:name w:val="正文二级"/>
    <w:basedOn w:val="5"/>
    <w:link w:val="43"/>
    <w:qFormat/>
    <w:uiPriority w:val="0"/>
    <w:pPr>
      <w:spacing w:before="50" w:beforeLines="50" w:after="50" w:afterLines="50" w:line="500" w:lineRule="exact"/>
      <w:outlineLvl w:val="1"/>
    </w:pPr>
    <w:rPr>
      <w:rFonts w:ascii="Times New Roman" w:hAnsi="Times New Roman" w:eastAsia="黑体"/>
      <w:b w:val="0"/>
      <w:sz w:val="28"/>
    </w:rPr>
  </w:style>
  <w:style w:type="character" w:customStyle="1" w:styleId="43">
    <w:name w:val="正文二级 字符"/>
    <w:basedOn w:val="44"/>
    <w:link w:val="42"/>
    <w:qFormat/>
    <w:uiPriority w:val="0"/>
    <w:rPr>
      <w:rFonts w:ascii="Times New Roman" w:hAnsi="Times New Roman" w:eastAsia="黑体"/>
      <w:b w:val="0"/>
      <w:sz w:val="28"/>
      <w:szCs w:val="32"/>
    </w:rPr>
  </w:style>
  <w:style w:type="character" w:customStyle="1" w:styleId="44">
    <w:name w:val="标题 3 字符"/>
    <w:basedOn w:val="25"/>
    <w:link w:val="5"/>
    <w:semiHidden/>
    <w:qFormat/>
    <w:uiPriority w:val="9"/>
    <w:rPr>
      <w:b/>
      <w:bCs/>
      <w:sz w:val="32"/>
      <w:szCs w:val="32"/>
    </w:rPr>
  </w:style>
  <w:style w:type="character" w:customStyle="1" w:styleId="45">
    <w:name w:val="标题 4 字符"/>
    <w:basedOn w:val="25"/>
    <w:link w:val="6"/>
    <w:qFormat/>
    <w:uiPriority w:val="9"/>
    <w:rPr>
      <w:rFonts w:asciiTheme="majorHAnsi" w:hAnsiTheme="majorHAnsi" w:eastAsiaTheme="majorEastAsia" w:cstheme="majorBidi"/>
      <w:b/>
      <w:bCs/>
      <w:sz w:val="28"/>
      <w:szCs w:val="28"/>
    </w:rPr>
  </w:style>
  <w:style w:type="character" w:customStyle="1" w:styleId="46">
    <w:name w:val="标题 5 字符"/>
    <w:basedOn w:val="25"/>
    <w:link w:val="7"/>
    <w:semiHidden/>
    <w:qFormat/>
    <w:uiPriority w:val="9"/>
    <w:rPr>
      <w:b/>
      <w:bCs/>
      <w:sz w:val="28"/>
      <w:szCs w:val="28"/>
    </w:rPr>
  </w:style>
  <w:style w:type="character" w:customStyle="1" w:styleId="47">
    <w:name w:val="标题 6 字符"/>
    <w:basedOn w:val="25"/>
    <w:link w:val="8"/>
    <w:semiHidden/>
    <w:qFormat/>
    <w:uiPriority w:val="9"/>
    <w:rPr>
      <w:rFonts w:asciiTheme="majorHAnsi" w:hAnsiTheme="majorHAnsi" w:eastAsiaTheme="majorEastAsia" w:cstheme="majorBidi"/>
      <w:b/>
      <w:bCs/>
      <w:sz w:val="24"/>
      <w:szCs w:val="24"/>
    </w:rPr>
  </w:style>
  <w:style w:type="character" w:customStyle="1" w:styleId="48">
    <w:name w:val="标题 7 字符"/>
    <w:basedOn w:val="25"/>
    <w:link w:val="9"/>
    <w:semiHidden/>
    <w:qFormat/>
    <w:uiPriority w:val="9"/>
    <w:rPr>
      <w:b/>
      <w:bCs/>
      <w:sz w:val="24"/>
      <w:szCs w:val="24"/>
    </w:rPr>
  </w:style>
  <w:style w:type="character" w:customStyle="1" w:styleId="49">
    <w:name w:val="标题 8 字符"/>
    <w:basedOn w:val="25"/>
    <w:link w:val="10"/>
    <w:semiHidden/>
    <w:qFormat/>
    <w:uiPriority w:val="9"/>
    <w:rPr>
      <w:rFonts w:asciiTheme="majorHAnsi" w:hAnsiTheme="majorHAnsi" w:eastAsiaTheme="majorEastAsia" w:cstheme="majorBidi"/>
      <w:sz w:val="24"/>
      <w:szCs w:val="24"/>
    </w:rPr>
  </w:style>
  <w:style w:type="character" w:customStyle="1" w:styleId="50">
    <w:name w:val="标题 9 字符"/>
    <w:basedOn w:val="25"/>
    <w:link w:val="11"/>
    <w:semiHidden/>
    <w:qFormat/>
    <w:uiPriority w:val="9"/>
    <w:rPr>
      <w:rFonts w:asciiTheme="majorHAnsi" w:hAnsiTheme="majorHAnsi" w:eastAsiaTheme="majorEastAsia" w:cstheme="majorBidi"/>
      <w:szCs w:val="21"/>
    </w:rPr>
  </w:style>
  <w:style w:type="character" w:customStyle="1" w:styleId="51">
    <w:name w:val="p5z1tvb38o1"/>
    <w:basedOn w:val="25"/>
    <w:qFormat/>
    <w:uiPriority w:val="0"/>
  </w:style>
  <w:style w:type="paragraph" w:styleId="52">
    <w:name w:val="No Spacing"/>
    <w:link w:val="53"/>
    <w:qFormat/>
    <w:uiPriority w:val="1"/>
    <w:rPr>
      <w:rFonts w:asciiTheme="minorHAnsi" w:hAnsiTheme="minorHAnsi" w:eastAsiaTheme="minorEastAsia" w:cstheme="minorBidi"/>
      <w:sz w:val="22"/>
      <w:szCs w:val="22"/>
      <w:lang w:val="en-US" w:eastAsia="zh-CN" w:bidi="ar-SA"/>
    </w:rPr>
  </w:style>
  <w:style w:type="character" w:customStyle="1" w:styleId="53">
    <w:name w:val="无间隔 字符"/>
    <w:basedOn w:val="25"/>
    <w:link w:val="52"/>
    <w:qFormat/>
    <w:uiPriority w:val="1"/>
    <w:rPr>
      <w:kern w:val="0"/>
      <w:sz w:val="22"/>
    </w:rPr>
  </w:style>
  <w:style w:type="paragraph" w:customStyle="1" w:styleId="54">
    <w:name w:val="TOC 标题1"/>
    <w:basedOn w:val="3"/>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paragraph" w:customStyle="1" w:styleId="55">
    <w:name w:val="修订1"/>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56">
    <w:name w:val="批注主题 字符"/>
    <w:basedOn w:val="36"/>
    <w:link w:val="22"/>
    <w:semiHidden/>
    <w:qFormat/>
    <w:uiPriority w:val="99"/>
    <w:rPr>
      <w:rFonts w:ascii="Calibri" w:hAnsi="Calibri" w:eastAsia="宋体" w:cs="Times New Roman"/>
      <w:b/>
      <w:bCs/>
      <w:kern w:val="2"/>
      <w:sz w:val="21"/>
      <w:szCs w:val="22"/>
    </w:rPr>
  </w:style>
  <w:style w:type="paragraph" w:customStyle="1" w:styleId="57">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58">
    <w:name w:val="页眉 字符"/>
    <w:basedOn w:val="25"/>
    <w:link w:val="17"/>
    <w:qFormat/>
    <w:uiPriority w:val="0"/>
    <w:rPr>
      <w:kern w:val="2"/>
      <w:sz w:val="18"/>
      <w:szCs w:val="18"/>
    </w:rPr>
  </w:style>
  <w:style w:type="paragraph" w:customStyle="1" w:styleId="59">
    <w:name w:val="TOC 标题2"/>
    <w:basedOn w:val="3"/>
    <w:next w:val="1"/>
    <w:unhideWhenUsed/>
    <w:qFormat/>
    <w:uiPriority w:val="39"/>
    <w:pPr>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paragraph" w:customStyle="1" w:styleId="60">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61">
    <w:name w:val="NormalCharacter"/>
    <w:link w:val="62"/>
    <w:qFormat/>
    <w:uiPriority w:val="0"/>
    <w:rPr>
      <w:rFonts w:ascii="Times New Roman" w:hAnsi="Times New Roman" w:cs="Times New Roman"/>
      <w:kern w:val="0"/>
      <w:sz w:val="20"/>
      <w:szCs w:val="20"/>
    </w:rPr>
  </w:style>
  <w:style w:type="paragraph" w:customStyle="1" w:styleId="62">
    <w:name w:val="UserStyle_17"/>
    <w:basedOn w:val="1"/>
    <w:link w:val="61"/>
    <w:qFormat/>
    <w:uiPriority w:val="0"/>
    <w:pPr>
      <w:widowControl/>
      <w:spacing w:line="360" w:lineRule="auto"/>
    </w:pPr>
    <w:rPr>
      <w:rFonts w:ascii="Times New Roman" w:hAnsi="Times New Roman" w:cs="Times New Roman"/>
      <w:kern w:val="0"/>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101</Pages>
  <Words>8524</Words>
  <Characters>48590</Characters>
  <Lines>404</Lines>
  <Paragraphs>113</Paragraphs>
  <TotalTime>17</TotalTime>
  <ScaleCrop>false</ScaleCrop>
  <LinksUpToDate>false</LinksUpToDate>
  <CharactersWithSpaces>57001</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2023-11-20T18:11:00Z</dcterms:created>
  <dc:creator>liuyj</dc:creator>
  <cp:lastModifiedBy>user</cp:lastModifiedBy>
  <cp:lastPrinted>2023-12-21T17:21:00Z</cp:lastPrinted>
  <dcterms:modified xsi:type="dcterms:W3CDTF">2025-09-11T09:14:55Z</dcterms:modified>
  <cp:revision>691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3E2E2DDD5CBA48ED975C4D3167D9341A_12</vt:lpwstr>
  </property>
</Properties>
</file>