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numPr>
          <w:ilvl w:val="255"/>
          <w:numId w:val="0"/>
        </w:numPr>
        <w:shd w:val="clear"/>
        <w:jc w:val="center"/>
        <w:rPr>
          <w:rFonts w:hint="eastAsia" w:ascii="方正小标宋简体" w:eastAsia="方正小标宋简体" w:hAnsiTheme="majorEastAsia" w:cstheme="majorEastAsia"/>
          <w:color w:val="auto"/>
          <w:sz w:val="44"/>
          <w:szCs w:val="44"/>
          <w:shd w:val="clear" w:color="auto" w:fill="auto"/>
          <w:lang w:eastAsia="zh-CN"/>
        </w:rPr>
      </w:pPr>
      <w:r>
        <w:rPr>
          <w:rFonts w:hint="eastAsia" w:ascii="方正小标宋简体" w:eastAsia="方正小标宋简体" w:hAnsiTheme="majorEastAsia" w:cstheme="majorEastAsia"/>
          <w:color w:val="auto"/>
          <w:sz w:val="44"/>
          <w:szCs w:val="44"/>
          <w:shd w:val="clear" w:color="auto" w:fill="auto"/>
          <w:lang w:val="en-US" w:eastAsia="zh-CN"/>
        </w:rPr>
        <w:t>周口市</w:t>
      </w:r>
      <w:r>
        <w:rPr>
          <w:rFonts w:hint="eastAsia" w:ascii="方正小标宋简体" w:eastAsia="方正小标宋简体" w:hAnsiTheme="majorEastAsia" w:cstheme="majorEastAsia"/>
          <w:color w:val="auto"/>
          <w:sz w:val="44"/>
          <w:szCs w:val="44"/>
          <w:shd w:val="clear" w:color="auto" w:fill="auto"/>
        </w:rPr>
        <w:t>建筑市场</w:t>
      </w:r>
      <w:r>
        <w:rPr>
          <w:rFonts w:hint="eastAsia" w:ascii="方正小标宋简体" w:eastAsia="方正小标宋简体" w:hAnsiTheme="majorEastAsia" w:cstheme="majorEastAsia"/>
          <w:color w:val="auto"/>
          <w:sz w:val="44"/>
          <w:szCs w:val="44"/>
          <w:shd w:val="clear" w:color="auto" w:fill="auto"/>
          <w:lang w:val="en-US" w:eastAsia="zh-CN"/>
        </w:rPr>
        <w:t>单位</w:t>
      </w:r>
      <w:r>
        <w:rPr>
          <w:rFonts w:hint="eastAsia" w:ascii="方正小标宋简体" w:eastAsia="方正小标宋简体" w:hAnsiTheme="majorEastAsia" w:cstheme="majorEastAsia"/>
          <w:color w:val="auto"/>
          <w:sz w:val="44"/>
          <w:szCs w:val="44"/>
          <w:shd w:val="clear" w:color="auto" w:fill="auto"/>
        </w:rPr>
        <w:t>主体信用评价</w:t>
      </w:r>
      <w:r>
        <w:rPr>
          <w:rFonts w:hint="eastAsia" w:ascii="方正小标宋简体" w:eastAsia="方正小标宋简体" w:hAnsiTheme="majorEastAsia" w:cstheme="majorEastAsia"/>
          <w:color w:val="auto"/>
          <w:sz w:val="44"/>
          <w:szCs w:val="44"/>
          <w:shd w:val="clear" w:color="auto" w:fill="auto"/>
          <w:lang w:eastAsia="zh-CN"/>
        </w:rPr>
        <w:t>办法</w:t>
      </w:r>
    </w:p>
    <w:p>
      <w:pPr>
        <w:pStyle w:val="2"/>
        <w:shd w:val="clear"/>
        <w:jc w:val="center"/>
        <w:rPr>
          <w:rFonts w:hint="eastAsia"/>
          <w:sz w:val="32"/>
          <w:szCs w:val="32"/>
          <w:shd w:val="clear" w:color="auto" w:fill="auto"/>
          <w:lang w:eastAsia="zh-CN"/>
        </w:rPr>
      </w:pPr>
      <w:r>
        <w:rPr>
          <w:rFonts w:hint="eastAsia" w:ascii="方正小标宋简体" w:eastAsia="方正小标宋简体" w:hAnsiTheme="majorEastAsia" w:cstheme="majorEastAsia"/>
          <w:color w:val="auto"/>
          <w:sz w:val="32"/>
          <w:szCs w:val="32"/>
          <w:shd w:val="clear" w:color="auto" w:fill="auto"/>
          <w:lang w:eastAsia="zh-CN"/>
        </w:rPr>
        <w:t>（征求意见稿）</w:t>
      </w:r>
    </w:p>
    <w:p>
      <w:pPr>
        <w:widowControl/>
        <w:numPr>
          <w:ilvl w:val="255"/>
          <w:numId w:val="0"/>
        </w:numPr>
        <w:shd w:val="clear"/>
        <w:jc w:val="center"/>
        <w:rPr>
          <w:rFonts w:hint="eastAsia" w:asciiTheme="majorEastAsia" w:hAnsiTheme="majorEastAsia" w:eastAsiaTheme="majorEastAsia" w:cstheme="majorEastAsia"/>
          <w:color w:val="auto"/>
          <w:sz w:val="36"/>
          <w:szCs w:val="36"/>
          <w:shd w:val="clear" w:color="auto" w:fill="auto"/>
          <w:lang w:eastAsia="zh-CN"/>
        </w:rPr>
      </w:pPr>
      <w:r>
        <w:rPr>
          <w:rFonts w:hint="eastAsia" w:ascii="方正小标宋简体" w:eastAsia="方正小标宋简体" w:hAnsiTheme="majorEastAsia" w:cstheme="majorEastAsia"/>
          <w:color w:val="auto"/>
          <w:sz w:val="44"/>
          <w:szCs w:val="44"/>
          <w:shd w:val="clear" w:color="auto" w:fill="auto"/>
          <w:lang w:val="en-US" w:eastAsia="zh-CN"/>
        </w:rPr>
        <w:t xml:space="preserve"> </w:t>
      </w:r>
    </w:p>
    <w:p>
      <w:pPr>
        <w:shd w:val="clear"/>
        <w:spacing w:line="240" w:lineRule="auto"/>
        <w:ind w:firstLine="618" w:firstLineChars="200"/>
        <w:jc w:val="both"/>
        <w:rPr>
          <w:rFonts w:hint="eastAsia" w:ascii="仿宋" w:hAnsi="仿宋" w:eastAsia="仿宋" w:cs="仿宋"/>
          <w:color w:val="auto"/>
          <w:sz w:val="32"/>
          <w:szCs w:val="32"/>
          <w:shd w:val="clear" w:color="auto" w:fill="auto"/>
        </w:rPr>
      </w:pPr>
      <w:r>
        <w:rPr>
          <w:rFonts w:hint="eastAsia" w:ascii="黑体" w:hAnsi="黑体" w:eastAsia="黑体" w:cs="黑体"/>
          <w:color w:val="auto"/>
          <w:sz w:val="32"/>
          <w:szCs w:val="32"/>
          <w:shd w:val="clear" w:color="auto" w:fill="auto"/>
        </w:rPr>
        <w:t>第</w:t>
      </w:r>
      <w:r>
        <w:rPr>
          <w:rFonts w:hint="eastAsia" w:ascii="黑体" w:hAnsi="黑体" w:eastAsia="黑体" w:cs="黑体"/>
          <w:color w:val="auto"/>
          <w:sz w:val="32"/>
          <w:szCs w:val="32"/>
          <w:shd w:val="clear" w:color="auto" w:fill="auto"/>
          <w:lang w:val="en-US" w:eastAsia="zh-CN"/>
        </w:rPr>
        <w:t>一</w:t>
      </w:r>
      <w:r>
        <w:rPr>
          <w:rFonts w:hint="eastAsia" w:ascii="黑体" w:hAnsi="黑体" w:eastAsia="黑体" w:cs="黑体"/>
          <w:color w:val="auto"/>
          <w:sz w:val="32"/>
          <w:szCs w:val="32"/>
          <w:shd w:val="clear" w:color="auto" w:fill="auto"/>
        </w:rPr>
        <w:t>条</w:t>
      </w:r>
      <w:r>
        <w:rPr>
          <w:rFonts w:hint="eastAsia" w:ascii="黑体" w:hAnsi="黑体" w:eastAsia="黑体" w:cs="黑体"/>
          <w:color w:val="auto"/>
          <w:sz w:val="32"/>
          <w:szCs w:val="32"/>
          <w:shd w:val="clear" w:color="auto" w:fill="auto"/>
          <w:lang w:val="en-US" w:eastAsia="zh-CN"/>
        </w:rPr>
        <w:t xml:space="preserve"> </w:t>
      </w:r>
      <w:r>
        <w:rPr>
          <w:rFonts w:hint="eastAsia" w:ascii="仿宋" w:hAnsi="仿宋" w:eastAsia="仿宋" w:cs="仿宋"/>
          <w:color w:val="auto"/>
          <w:sz w:val="32"/>
          <w:szCs w:val="32"/>
          <w:shd w:val="clear" w:color="auto" w:fill="auto"/>
        </w:rPr>
        <w:t>为规范全</w:t>
      </w:r>
      <w:r>
        <w:rPr>
          <w:rFonts w:hint="eastAsia" w:ascii="仿宋" w:hAnsi="仿宋" w:eastAsia="仿宋" w:cs="仿宋"/>
          <w:color w:val="auto"/>
          <w:sz w:val="32"/>
          <w:szCs w:val="32"/>
          <w:shd w:val="clear" w:color="auto" w:fill="auto"/>
          <w:lang w:val="en-US" w:eastAsia="zh-CN"/>
        </w:rPr>
        <w:t>市</w:t>
      </w:r>
      <w:r>
        <w:rPr>
          <w:rFonts w:hint="eastAsia" w:ascii="仿宋" w:hAnsi="仿宋" w:eastAsia="仿宋" w:cs="仿宋"/>
          <w:color w:val="auto"/>
          <w:sz w:val="32"/>
          <w:szCs w:val="32"/>
          <w:shd w:val="clear" w:color="auto" w:fill="auto"/>
        </w:rPr>
        <w:t>建筑市场主体信用评价工作，推进建筑市场信用体系建设，营造公平竞争、诚信守法、统一开放的市场环境，根据</w:t>
      </w:r>
      <w:r>
        <w:rPr>
          <w:rFonts w:hint="eastAsia" w:ascii="Times New Roman" w:hAnsi="Times New Roman" w:eastAsia="仿宋_GB2312"/>
          <w:color w:val="auto"/>
          <w:sz w:val="32"/>
          <w:szCs w:val="32"/>
          <w:shd w:val="clear" w:color="auto" w:fill="auto"/>
        </w:rPr>
        <w:t>《国务院关于建立完善守信联合激励和失信联合惩戒制度加快推进社会诚信建设的指</w:t>
      </w:r>
      <w:bookmarkStart w:id="0" w:name="_GoBack"/>
      <w:bookmarkEnd w:id="0"/>
      <w:r>
        <w:rPr>
          <w:rFonts w:hint="eastAsia" w:ascii="Times New Roman" w:hAnsi="Times New Roman" w:eastAsia="仿宋_GB2312"/>
          <w:color w:val="auto"/>
          <w:sz w:val="32"/>
          <w:szCs w:val="32"/>
          <w:shd w:val="clear" w:color="auto" w:fill="auto"/>
        </w:rPr>
        <w:t>导意见》（国发</w:t>
      </w:r>
      <w:r>
        <w:rPr>
          <w:rFonts w:hint="eastAsia" w:ascii="CESI仿宋-GB2312" w:hAnsi="CESI仿宋-GB2312" w:eastAsia="CESI仿宋-GB2312" w:cs="CESI仿宋-GB2312"/>
          <w:color w:val="auto"/>
          <w:sz w:val="32"/>
          <w:szCs w:val="32"/>
          <w:shd w:val="clear" w:color="auto" w:fill="auto"/>
        </w:rPr>
        <w:t>〔2016〕33号）</w:t>
      </w:r>
      <w:r>
        <w:rPr>
          <w:rFonts w:hint="eastAsia" w:ascii="Times New Roman" w:hAnsi="Times New Roman" w:eastAsia="仿宋_GB2312"/>
          <w:color w:val="auto"/>
          <w:sz w:val="32"/>
          <w:szCs w:val="32"/>
          <w:shd w:val="clear" w:color="auto" w:fill="auto"/>
          <w:lang w:eastAsia="zh-CN"/>
        </w:rPr>
        <w:t>、</w:t>
      </w:r>
      <w:r>
        <w:rPr>
          <w:rFonts w:hint="eastAsia" w:ascii="Times New Roman" w:hAnsi="Times New Roman" w:eastAsia="仿宋_GB2312"/>
          <w:color w:val="auto"/>
          <w:sz w:val="32"/>
          <w:szCs w:val="32"/>
          <w:shd w:val="clear" w:color="auto" w:fill="auto"/>
        </w:rPr>
        <w:t>《国务院办公厅关于加快推进社会信用体系建设构建以信用为基础的新型监管机制的指导意见》（国办发</w:t>
      </w:r>
      <w:r>
        <w:rPr>
          <w:rFonts w:hint="eastAsia" w:ascii="CESI仿宋-GB2312" w:hAnsi="CESI仿宋-GB2312" w:eastAsia="CESI仿宋-GB2312" w:cs="CESI仿宋-GB2312"/>
          <w:color w:val="auto"/>
          <w:sz w:val="32"/>
          <w:szCs w:val="32"/>
          <w:shd w:val="clear" w:color="auto" w:fill="auto"/>
        </w:rPr>
        <w:t>〔2019〕35号</w:t>
      </w:r>
      <w:r>
        <w:rPr>
          <w:rFonts w:hint="eastAsia" w:ascii="Times New Roman" w:hAnsi="Times New Roman" w:eastAsia="仿宋_GB2312"/>
          <w:color w:val="auto"/>
          <w:sz w:val="32"/>
          <w:szCs w:val="32"/>
          <w:shd w:val="clear" w:color="auto" w:fill="auto"/>
        </w:rPr>
        <w:t>）</w:t>
      </w:r>
      <w:r>
        <w:rPr>
          <w:rFonts w:hint="eastAsia" w:ascii="Times New Roman" w:hAnsi="Times New Roman" w:eastAsia="仿宋_GB2312"/>
          <w:color w:val="auto"/>
          <w:sz w:val="32"/>
          <w:szCs w:val="32"/>
          <w:shd w:val="clear" w:color="auto" w:fill="auto"/>
          <w:lang w:eastAsia="zh-CN"/>
        </w:rPr>
        <w:t>、</w:t>
      </w:r>
      <w:r>
        <w:rPr>
          <w:rFonts w:hint="eastAsia" w:ascii="Times New Roman" w:hAnsi="Times New Roman" w:eastAsia="仿宋_GB2312"/>
          <w:color w:val="auto"/>
          <w:sz w:val="32"/>
          <w:szCs w:val="32"/>
          <w:shd w:val="clear" w:color="auto" w:fill="auto"/>
        </w:rPr>
        <w:t>《住房和城乡建设部关于印发建筑市场信用管理暂行办法的通知》（建市</w:t>
      </w:r>
      <w:r>
        <w:rPr>
          <w:rFonts w:hint="eastAsia" w:ascii="CESI仿宋-GB2312" w:hAnsi="CESI仿宋-GB2312" w:eastAsia="CESI仿宋-GB2312" w:cs="CESI仿宋-GB2312"/>
          <w:color w:val="auto"/>
          <w:sz w:val="32"/>
          <w:szCs w:val="32"/>
          <w:shd w:val="clear" w:color="auto" w:fill="auto"/>
        </w:rPr>
        <w:t>〔2017〕241号）</w:t>
      </w:r>
      <w:r>
        <w:rPr>
          <w:rFonts w:hint="eastAsia" w:ascii="Times New Roman" w:hAnsi="Times New Roman" w:eastAsia="仿宋_GB2312"/>
          <w:color w:val="auto"/>
          <w:sz w:val="32"/>
          <w:szCs w:val="32"/>
          <w:shd w:val="clear" w:color="auto" w:fill="auto"/>
          <w:lang w:eastAsia="zh-CN"/>
        </w:rPr>
        <w:t>、</w:t>
      </w:r>
      <w:r>
        <w:rPr>
          <w:rFonts w:hint="eastAsia" w:ascii="Times New Roman" w:hAnsi="Times New Roman" w:eastAsia="仿宋_GB2312" w:cs="Times New Roman"/>
          <w:color w:val="auto"/>
          <w:kern w:val="2"/>
          <w:sz w:val="32"/>
          <w:szCs w:val="32"/>
          <w:shd w:val="clear" w:color="auto" w:fill="auto"/>
          <w:lang w:val="en-US" w:eastAsia="zh-CN" w:bidi="ar-SA"/>
        </w:rPr>
        <w:t>《河南省社会信用条例》、</w:t>
      </w:r>
      <w:r>
        <w:rPr>
          <w:rFonts w:hint="eastAsia" w:ascii="仿宋" w:hAnsi="仿宋" w:eastAsia="仿宋" w:cs="仿宋"/>
          <w:color w:val="auto"/>
          <w:kern w:val="2"/>
          <w:sz w:val="32"/>
          <w:szCs w:val="32"/>
          <w:shd w:val="clear" w:color="auto" w:fill="auto"/>
          <w:lang w:val="en-US" w:eastAsia="zh-CN" w:bidi="ar-SA"/>
        </w:rPr>
        <w:t>《河南省住房和城乡建设厅关于开展&lt;河南省建筑市场信用管理实施办法（暂行）&gt;&lt;河南省建筑市场主体信用评价办法（暂行）&gt;运行试点的通知》（豫建市</w:t>
      </w:r>
      <w:r>
        <w:rPr>
          <w:rFonts w:hint="eastAsia" w:ascii="仿宋" w:hAnsi="仿宋" w:eastAsia="仿宋" w:cs="仿宋"/>
          <w:sz w:val="32"/>
          <w:szCs w:val="32"/>
          <w:shd w:val="clear" w:color="auto" w:fill="auto"/>
        </w:rPr>
        <w:t>[20</w:t>
      </w:r>
      <w:r>
        <w:rPr>
          <w:rFonts w:hint="eastAsia" w:ascii="仿宋" w:hAnsi="仿宋" w:eastAsia="仿宋" w:cs="仿宋"/>
          <w:sz w:val="32"/>
          <w:szCs w:val="32"/>
          <w:shd w:val="clear" w:color="auto" w:fill="auto"/>
          <w:lang w:val="en-US" w:eastAsia="zh-CN"/>
        </w:rPr>
        <w:t>20</w:t>
      </w:r>
      <w:r>
        <w:rPr>
          <w:rFonts w:hint="eastAsia" w:ascii="仿宋" w:hAnsi="仿宋" w:eastAsia="仿宋" w:cs="仿宋"/>
          <w:sz w:val="32"/>
          <w:szCs w:val="32"/>
          <w:shd w:val="clear" w:color="auto" w:fill="auto"/>
        </w:rPr>
        <w:t>]</w:t>
      </w:r>
      <w:r>
        <w:rPr>
          <w:rFonts w:hint="eastAsia" w:ascii="仿宋" w:hAnsi="仿宋" w:eastAsia="仿宋" w:cs="仿宋"/>
          <w:sz w:val="32"/>
          <w:szCs w:val="32"/>
          <w:shd w:val="clear" w:color="auto" w:fill="auto"/>
          <w:lang w:val="en-US" w:eastAsia="zh-CN"/>
        </w:rPr>
        <w:t>406</w:t>
      </w:r>
      <w:r>
        <w:rPr>
          <w:rFonts w:hint="eastAsia" w:ascii="仿宋" w:hAnsi="仿宋" w:eastAsia="仿宋" w:cs="仿宋"/>
          <w:color w:val="auto"/>
          <w:sz w:val="32"/>
          <w:szCs w:val="32"/>
          <w:shd w:val="clear" w:color="auto" w:fill="auto"/>
        </w:rPr>
        <w:t>号)</w:t>
      </w:r>
      <w:r>
        <w:rPr>
          <w:rFonts w:hint="eastAsia" w:ascii="仿宋" w:hAnsi="仿宋" w:eastAsia="仿宋" w:cs="仿宋"/>
          <w:color w:val="auto"/>
          <w:sz w:val="32"/>
          <w:szCs w:val="32"/>
          <w:shd w:val="clear" w:color="auto" w:fill="auto"/>
          <w:lang w:eastAsia="zh-CN"/>
        </w:rPr>
        <w:t>、</w:t>
      </w:r>
      <w:r>
        <w:rPr>
          <w:rFonts w:hint="eastAsia" w:ascii="仿宋_GB2312" w:hAnsi="仿宋_GB2312" w:eastAsia="仿宋_GB2312" w:cs="仿宋_GB2312"/>
          <w:color w:val="auto"/>
          <w:kern w:val="2"/>
          <w:sz w:val="32"/>
          <w:szCs w:val="32"/>
          <w:shd w:val="clear" w:color="auto" w:fill="auto"/>
          <w:lang w:val="en-US" w:eastAsia="zh-CN" w:bidi="ar-SA"/>
        </w:rPr>
        <w:t>《河南省住房和城乡建设厅关于印发&lt;河南省建筑市场信用管理实施办法（暂行）&gt;&lt;河南省建筑市场主体信用评价办法（暂行）&gt;的通知》（豫建行规</w:t>
      </w:r>
      <w:r>
        <w:rPr>
          <w:rFonts w:hint="eastAsia" w:ascii="仿宋_GB2312" w:hAnsi="仿宋_GB2312" w:eastAsia="仿宋_GB2312" w:cs="仿宋_GB2312"/>
          <w:color w:val="auto"/>
          <w:sz w:val="32"/>
          <w:szCs w:val="32"/>
          <w:shd w:val="clear" w:color="auto" w:fill="auto"/>
        </w:rPr>
        <w:t>〔20</w:t>
      </w:r>
      <w:r>
        <w:rPr>
          <w:rFonts w:hint="eastAsia" w:ascii="仿宋_GB2312" w:hAnsi="仿宋_GB2312" w:eastAsia="仿宋_GB2312" w:cs="仿宋_GB2312"/>
          <w:color w:val="auto"/>
          <w:sz w:val="32"/>
          <w:szCs w:val="32"/>
          <w:shd w:val="clear" w:color="auto" w:fill="auto"/>
          <w:lang w:val="en-US" w:eastAsia="zh-CN"/>
        </w:rPr>
        <w:t>21</w:t>
      </w:r>
      <w:r>
        <w:rPr>
          <w:rFonts w:hint="eastAsia" w:ascii="仿宋_GB2312" w:hAnsi="仿宋_GB2312" w:eastAsia="仿宋_GB2312" w:cs="仿宋_GB2312"/>
          <w:color w:val="auto"/>
          <w:sz w:val="32"/>
          <w:szCs w:val="32"/>
          <w:shd w:val="clear" w:color="auto" w:fill="auto"/>
        </w:rPr>
        <w:t>〕</w:t>
      </w:r>
      <w:r>
        <w:rPr>
          <w:rFonts w:hint="eastAsia" w:ascii="仿宋_GB2312" w:hAnsi="仿宋_GB2312" w:eastAsia="仿宋_GB2312" w:cs="仿宋_GB2312"/>
          <w:sz w:val="32"/>
          <w:szCs w:val="32"/>
          <w:shd w:val="clear" w:color="auto" w:fill="auto"/>
          <w:lang w:val="en-US" w:eastAsia="zh-CN"/>
        </w:rPr>
        <w:t>2</w:t>
      </w:r>
      <w:r>
        <w:rPr>
          <w:rFonts w:hint="eastAsia" w:ascii="仿宋_GB2312" w:hAnsi="仿宋_GB2312" w:eastAsia="仿宋_GB2312" w:cs="仿宋_GB2312"/>
          <w:color w:val="auto"/>
          <w:sz w:val="32"/>
          <w:szCs w:val="32"/>
          <w:shd w:val="clear" w:color="auto" w:fill="auto"/>
        </w:rPr>
        <w:t>号)</w:t>
      </w:r>
      <w:r>
        <w:rPr>
          <w:rFonts w:hint="eastAsia" w:ascii="仿宋_GB2312" w:hAnsi="仿宋_GB2312" w:eastAsia="仿宋_GB2312" w:cs="仿宋_GB2312"/>
          <w:color w:val="auto"/>
          <w:sz w:val="32"/>
          <w:szCs w:val="32"/>
          <w:shd w:val="clear" w:color="auto" w:fill="auto"/>
          <w:lang w:eastAsia="zh-CN"/>
        </w:rPr>
        <w:t>、</w:t>
      </w:r>
      <w:r>
        <w:rPr>
          <w:rFonts w:hint="eastAsia" w:ascii="仿宋_GB2312" w:hAnsi="仿宋_GB2312" w:eastAsia="仿宋_GB2312" w:cs="仿宋_GB2312"/>
          <w:sz w:val="32"/>
          <w:szCs w:val="32"/>
          <w:shd w:val="clear" w:color="auto" w:fill="auto"/>
          <w:lang w:val="en-US" w:eastAsia="zh-CN"/>
        </w:rPr>
        <w:t>《关于印发周口市社会信用体系建设工作综合评价办法的通知》</w:t>
      </w:r>
      <w:r>
        <w:rPr>
          <w:rFonts w:hint="eastAsia" w:ascii="仿宋_GB2312" w:hAnsi="仿宋_GB2312" w:eastAsia="仿宋_GB2312" w:cs="仿宋_GB2312"/>
          <w:sz w:val="32"/>
          <w:szCs w:val="32"/>
          <w:shd w:val="clear" w:color="auto" w:fill="auto"/>
        </w:rPr>
        <w:t>(</w:t>
      </w:r>
      <w:r>
        <w:rPr>
          <w:rFonts w:hint="eastAsia" w:ascii="仿宋_GB2312" w:hAnsi="仿宋_GB2312" w:eastAsia="仿宋_GB2312" w:cs="仿宋_GB2312"/>
          <w:sz w:val="32"/>
          <w:szCs w:val="32"/>
          <w:shd w:val="clear" w:color="auto" w:fill="auto"/>
          <w:lang w:val="en-US" w:eastAsia="zh-CN"/>
        </w:rPr>
        <w:t>周信用办</w:t>
      </w:r>
      <w:r>
        <w:rPr>
          <w:rFonts w:hint="eastAsia" w:ascii="仿宋" w:hAnsi="仿宋" w:eastAsia="仿宋" w:cs="仿宋"/>
          <w:sz w:val="32"/>
          <w:szCs w:val="32"/>
          <w:shd w:val="clear" w:color="auto" w:fill="auto"/>
        </w:rPr>
        <w:t>[</w:t>
      </w:r>
      <w:r>
        <w:rPr>
          <w:rFonts w:hint="eastAsia" w:ascii="仿宋_GB2312" w:hAnsi="仿宋_GB2312" w:eastAsia="仿宋_GB2312" w:cs="仿宋_GB2312"/>
          <w:sz w:val="32"/>
          <w:szCs w:val="32"/>
          <w:shd w:val="clear" w:color="auto" w:fill="auto"/>
        </w:rPr>
        <w:t>201</w:t>
      </w:r>
      <w:r>
        <w:rPr>
          <w:rFonts w:hint="eastAsia" w:ascii="仿宋_GB2312" w:hAnsi="仿宋_GB2312" w:eastAsia="仿宋_GB2312" w:cs="仿宋_GB2312"/>
          <w:sz w:val="32"/>
          <w:szCs w:val="32"/>
          <w:shd w:val="clear" w:color="auto" w:fill="auto"/>
          <w:lang w:val="en-US" w:eastAsia="zh-CN"/>
        </w:rPr>
        <w:t>9</w:t>
      </w:r>
      <w:r>
        <w:rPr>
          <w:rFonts w:hint="eastAsia" w:ascii="仿宋" w:hAnsi="仿宋" w:eastAsia="仿宋" w:cs="仿宋"/>
          <w:sz w:val="32"/>
          <w:szCs w:val="32"/>
          <w:shd w:val="clear" w:color="auto" w:fill="auto"/>
        </w:rPr>
        <w:t>]</w:t>
      </w:r>
      <w:r>
        <w:rPr>
          <w:rFonts w:hint="eastAsia" w:ascii="仿宋_GB2312" w:hAnsi="仿宋_GB2312" w:eastAsia="仿宋_GB2312" w:cs="仿宋_GB2312"/>
          <w:sz w:val="32"/>
          <w:szCs w:val="32"/>
          <w:shd w:val="clear" w:color="auto" w:fill="auto"/>
        </w:rPr>
        <w:t>3</w:t>
      </w:r>
      <w:r>
        <w:rPr>
          <w:rFonts w:hint="eastAsia" w:ascii="仿宋_GB2312" w:hAnsi="仿宋_GB2312" w:eastAsia="仿宋_GB2312" w:cs="仿宋_GB2312"/>
          <w:sz w:val="32"/>
          <w:szCs w:val="32"/>
          <w:shd w:val="clear" w:color="auto" w:fill="auto"/>
          <w:lang w:val="en-US" w:eastAsia="zh-CN"/>
        </w:rPr>
        <w:t>5</w:t>
      </w:r>
      <w:r>
        <w:rPr>
          <w:rFonts w:hint="eastAsia" w:ascii="仿宋_GB2312" w:hAnsi="仿宋_GB2312" w:eastAsia="仿宋_GB2312" w:cs="仿宋_GB2312"/>
          <w:sz w:val="32"/>
          <w:szCs w:val="32"/>
          <w:shd w:val="clear" w:color="auto" w:fill="auto"/>
        </w:rPr>
        <w:t>号)</w:t>
      </w:r>
      <w:r>
        <w:rPr>
          <w:rFonts w:hint="eastAsia" w:ascii="仿宋_GB2312" w:hAnsi="仿宋_GB2312" w:eastAsia="仿宋_GB2312" w:cs="仿宋_GB2312"/>
          <w:sz w:val="32"/>
          <w:szCs w:val="32"/>
          <w:shd w:val="clear" w:color="auto" w:fill="auto"/>
          <w:lang w:eastAsia="zh-CN"/>
        </w:rPr>
        <w:t>、《</w:t>
      </w:r>
      <w:r>
        <w:rPr>
          <w:rFonts w:hint="eastAsia" w:ascii="仿宋_GB2312" w:hAnsi="仿宋_GB2312" w:eastAsia="仿宋_GB2312" w:cs="仿宋_GB2312"/>
          <w:sz w:val="32"/>
          <w:szCs w:val="32"/>
          <w:shd w:val="clear" w:color="auto" w:fill="auto"/>
          <w:lang w:val="en-US" w:eastAsia="zh-CN"/>
        </w:rPr>
        <w:t>关于落实</w:t>
      </w:r>
      <w:r>
        <w:rPr>
          <w:rFonts w:hint="eastAsia" w:ascii="仿宋" w:hAnsi="仿宋" w:eastAsia="仿宋" w:cs="仿宋"/>
          <w:sz w:val="32"/>
          <w:szCs w:val="32"/>
          <w:shd w:val="clear" w:color="auto" w:fill="auto"/>
          <w:lang w:val="en-US" w:eastAsia="zh-CN"/>
        </w:rPr>
        <w:t>&lt;河南省加快推进社会信用体系建设构建以信用为基础的新型监管机制实施方案&gt;任务分解的通知》</w:t>
      </w:r>
      <w:r>
        <w:rPr>
          <w:rFonts w:hint="eastAsia" w:ascii="仿宋_GB2312" w:hAnsi="仿宋_GB2312" w:eastAsia="仿宋_GB2312" w:cs="仿宋_GB2312"/>
          <w:sz w:val="32"/>
          <w:szCs w:val="32"/>
          <w:shd w:val="clear" w:color="auto" w:fill="auto"/>
        </w:rPr>
        <w:t>(</w:t>
      </w:r>
      <w:r>
        <w:rPr>
          <w:rFonts w:hint="eastAsia" w:ascii="仿宋_GB2312" w:hAnsi="仿宋_GB2312" w:eastAsia="仿宋_GB2312" w:cs="仿宋_GB2312"/>
          <w:sz w:val="32"/>
          <w:szCs w:val="32"/>
          <w:shd w:val="clear" w:color="auto" w:fill="auto"/>
          <w:lang w:val="en-US" w:eastAsia="zh-CN"/>
        </w:rPr>
        <w:t>周信用办</w:t>
      </w:r>
      <w:r>
        <w:rPr>
          <w:rFonts w:hint="eastAsia" w:ascii="仿宋" w:hAnsi="仿宋" w:eastAsia="仿宋" w:cs="仿宋"/>
          <w:sz w:val="32"/>
          <w:szCs w:val="32"/>
          <w:shd w:val="clear" w:color="auto" w:fill="auto"/>
        </w:rPr>
        <w:t>[</w:t>
      </w:r>
      <w:r>
        <w:rPr>
          <w:rFonts w:hint="eastAsia" w:ascii="仿宋_GB2312" w:hAnsi="仿宋_GB2312" w:eastAsia="仿宋_GB2312" w:cs="仿宋_GB2312"/>
          <w:sz w:val="32"/>
          <w:szCs w:val="32"/>
          <w:shd w:val="clear" w:color="auto" w:fill="auto"/>
        </w:rPr>
        <w:t>20</w:t>
      </w:r>
      <w:r>
        <w:rPr>
          <w:rFonts w:hint="eastAsia" w:ascii="仿宋_GB2312" w:hAnsi="仿宋_GB2312" w:eastAsia="仿宋_GB2312" w:cs="仿宋_GB2312"/>
          <w:sz w:val="32"/>
          <w:szCs w:val="32"/>
          <w:shd w:val="clear" w:color="auto" w:fill="auto"/>
          <w:lang w:val="en-US" w:eastAsia="zh-CN"/>
        </w:rPr>
        <w:t>20</w:t>
      </w:r>
      <w:r>
        <w:rPr>
          <w:rFonts w:hint="eastAsia" w:ascii="仿宋" w:hAnsi="仿宋" w:eastAsia="仿宋" w:cs="仿宋"/>
          <w:sz w:val="32"/>
          <w:szCs w:val="32"/>
          <w:shd w:val="clear" w:color="auto" w:fill="auto"/>
        </w:rPr>
        <w:t>]</w:t>
      </w:r>
      <w:r>
        <w:rPr>
          <w:rFonts w:hint="eastAsia" w:ascii="仿宋_GB2312" w:hAnsi="仿宋_GB2312" w:eastAsia="仿宋_GB2312" w:cs="仿宋_GB2312"/>
          <w:sz w:val="32"/>
          <w:szCs w:val="32"/>
          <w:shd w:val="clear" w:color="auto" w:fill="auto"/>
          <w:lang w:val="en-US" w:eastAsia="zh-CN"/>
        </w:rPr>
        <w:t>5</w:t>
      </w:r>
      <w:r>
        <w:rPr>
          <w:rFonts w:hint="eastAsia" w:ascii="仿宋_GB2312" w:hAnsi="仿宋_GB2312" w:eastAsia="仿宋_GB2312" w:cs="仿宋_GB2312"/>
          <w:sz w:val="32"/>
          <w:szCs w:val="32"/>
          <w:shd w:val="clear" w:color="auto" w:fill="auto"/>
        </w:rPr>
        <w:t>号)</w:t>
      </w:r>
      <w:r>
        <w:rPr>
          <w:rFonts w:hint="eastAsia" w:ascii="仿宋_GB2312" w:hAnsi="仿宋_GB2312" w:eastAsia="仿宋_GB2312" w:cs="仿宋_GB2312"/>
          <w:sz w:val="32"/>
          <w:szCs w:val="32"/>
          <w:shd w:val="clear" w:color="auto" w:fill="auto"/>
          <w:lang w:eastAsia="zh-CN"/>
        </w:rPr>
        <w:t>、</w:t>
      </w:r>
      <w:r>
        <w:rPr>
          <w:rFonts w:hint="eastAsia" w:ascii="Times New Roman" w:hAnsi="Times New Roman" w:eastAsia="仿宋_GB2312"/>
          <w:color w:val="auto"/>
          <w:sz w:val="32"/>
          <w:szCs w:val="32"/>
          <w:shd w:val="clear" w:color="auto" w:fill="auto"/>
          <w:lang w:eastAsia="zh-CN"/>
        </w:rPr>
        <w:t>《</w:t>
      </w:r>
      <w:r>
        <w:rPr>
          <w:rFonts w:hint="eastAsia" w:ascii="Times New Roman" w:hAnsi="Times New Roman" w:eastAsia="仿宋_GB2312"/>
          <w:color w:val="auto"/>
          <w:sz w:val="32"/>
          <w:szCs w:val="32"/>
          <w:shd w:val="clear" w:color="auto" w:fill="auto"/>
          <w:lang w:val="en-US" w:eastAsia="zh-CN"/>
        </w:rPr>
        <w:t>周口市</w:t>
      </w:r>
      <w:r>
        <w:rPr>
          <w:rFonts w:hint="eastAsia" w:ascii="Times New Roman" w:hAnsi="Times New Roman" w:eastAsia="仿宋_GB2312"/>
          <w:color w:val="auto"/>
          <w:sz w:val="32"/>
          <w:szCs w:val="32"/>
          <w:shd w:val="clear" w:color="auto" w:fill="auto"/>
          <w:lang w:eastAsia="zh-CN"/>
        </w:rPr>
        <w:t>建筑市场</w:t>
      </w:r>
      <w:r>
        <w:rPr>
          <w:rFonts w:hint="eastAsia" w:ascii="Times New Roman" w:hAnsi="Times New Roman" w:eastAsia="仿宋_GB2312"/>
          <w:color w:val="auto"/>
          <w:sz w:val="32"/>
          <w:szCs w:val="32"/>
          <w:shd w:val="clear" w:color="auto" w:fill="auto"/>
          <w:lang w:val="en-US" w:eastAsia="zh-CN"/>
        </w:rPr>
        <w:t>单位主体</w:t>
      </w:r>
      <w:r>
        <w:rPr>
          <w:rFonts w:hint="eastAsia" w:ascii="Times New Roman" w:hAnsi="Times New Roman" w:eastAsia="仿宋_GB2312"/>
          <w:color w:val="auto"/>
          <w:sz w:val="32"/>
          <w:szCs w:val="32"/>
          <w:shd w:val="clear" w:color="auto" w:fill="auto"/>
          <w:lang w:eastAsia="zh-CN"/>
        </w:rPr>
        <w:t>信用</w:t>
      </w:r>
      <w:r>
        <w:rPr>
          <w:rFonts w:hint="eastAsia" w:ascii="Times New Roman" w:hAnsi="Times New Roman" w:eastAsia="仿宋_GB2312"/>
          <w:color w:val="auto"/>
          <w:sz w:val="32"/>
          <w:szCs w:val="32"/>
          <w:shd w:val="clear" w:color="auto" w:fill="auto"/>
          <w:lang w:val="en-US" w:eastAsia="zh-CN"/>
        </w:rPr>
        <w:t>信息</w:t>
      </w:r>
      <w:r>
        <w:rPr>
          <w:rFonts w:hint="eastAsia" w:ascii="Times New Roman" w:hAnsi="Times New Roman" w:eastAsia="仿宋_GB2312"/>
          <w:color w:val="auto"/>
          <w:sz w:val="32"/>
          <w:szCs w:val="32"/>
          <w:shd w:val="clear" w:color="auto" w:fill="auto"/>
          <w:lang w:eastAsia="zh-CN"/>
        </w:rPr>
        <w:t>管理办法（暂行）》</w:t>
      </w:r>
      <w:r>
        <w:rPr>
          <w:rFonts w:hint="eastAsia" w:ascii="仿宋" w:hAnsi="仿宋" w:eastAsia="仿宋" w:cs="仿宋"/>
          <w:color w:val="auto"/>
          <w:sz w:val="32"/>
          <w:szCs w:val="32"/>
          <w:shd w:val="clear" w:color="auto" w:fill="auto"/>
        </w:rPr>
        <w:t>等法律法规和相关规定，结合我</w:t>
      </w:r>
      <w:r>
        <w:rPr>
          <w:rFonts w:hint="eastAsia" w:ascii="仿宋" w:hAnsi="仿宋" w:eastAsia="仿宋" w:cs="仿宋"/>
          <w:color w:val="auto"/>
          <w:sz w:val="32"/>
          <w:szCs w:val="32"/>
          <w:shd w:val="clear" w:color="auto" w:fill="auto"/>
          <w:lang w:val="en-US" w:eastAsia="zh-CN"/>
        </w:rPr>
        <w:t>市</w:t>
      </w:r>
      <w:r>
        <w:rPr>
          <w:rFonts w:hint="eastAsia" w:ascii="仿宋" w:hAnsi="仿宋" w:eastAsia="仿宋" w:cs="仿宋"/>
          <w:color w:val="auto"/>
          <w:sz w:val="32"/>
          <w:szCs w:val="32"/>
          <w:shd w:val="clear" w:color="auto" w:fill="auto"/>
        </w:rPr>
        <w:t>实际，制定本</w:t>
      </w:r>
      <w:r>
        <w:rPr>
          <w:rFonts w:hint="eastAsia" w:ascii="仿宋" w:hAnsi="仿宋" w:eastAsia="仿宋" w:cs="仿宋"/>
          <w:color w:val="auto"/>
          <w:sz w:val="32"/>
          <w:szCs w:val="32"/>
          <w:shd w:val="clear" w:color="auto" w:fill="auto"/>
          <w:lang w:eastAsia="zh-CN"/>
        </w:rPr>
        <w:t>办法</w:t>
      </w:r>
      <w:r>
        <w:rPr>
          <w:rFonts w:hint="eastAsia" w:ascii="仿宋" w:hAnsi="仿宋" w:eastAsia="仿宋" w:cs="仿宋"/>
          <w:color w:val="auto"/>
          <w:sz w:val="32"/>
          <w:szCs w:val="32"/>
          <w:shd w:val="clear" w:color="auto" w:fill="auto"/>
        </w:rPr>
        <w:t>。</w:t>
      </w:r>
    </w:p>
    <w:p>
      <w:pPr>
        <w:shd w:val="clear"/>
        <w:spacing w:line="240" w:lineRule="auto"/>
        <w:ind w:firstLine="618" w:firstLineChars="200"/>
        <w:jc w:val="both"/>
        <w:rPr>
          <w:rFonts w:ascii="仿宋" w:hAnsi="仿宋" w:eastAsia="仿宋" w:cs="仿宋"/>
          <w:color w:val="auto"/>
          <w:sz w:val="32"/>
          <w:szCs w:val="32"/>
          <w:shd w:val="clear" w:color="auto" w:fill="auto"/>
        </w:rPr>
      </w:pPr>
      <w:r>
        <w:rPr>
          <w:rFonts w:hint="eastAsia" w:ascii="黑体" w:hAnsi="黑体" w:eastAsia="黑体" w:cs="黑体"/>
          <w:color w:val="auto"/>
          <w:sz w:val="32"/>
          <w:szCs w:val="32"/>
          <w:shd w:val="clear" w:color="auto" w:fill="auto"/>
        </w:rPr>
        <w:t xml:space="preserve">第二条 </w:t>
      </w:r>
      <w:r>
        <w:rPr>
          <w:rFonts w:hint="eastAsia" w:ascii="仿宋" w:hAnsi="仿宋" w:eastAsia="仿宋" w:cs="仿宋"/>
          <w:color w:val="auto"/>
          <w:sz w:val="32"/>
          <w:szCs w:val="32"/>
          <w:shd w:val="clear" w:color="auto" w:fill="auto"/>
        </w:rPr>
        <w:t>在</w:t>
      </w:r>
      <w:r>
        <w:rPr>
          <w:rFonts w:hint="eastAsia" w:ascii="仿宋" w:hAnsi="仿宋" w:eastAsia="仿宋" w:cs="仿宋"/>
          <w:color w:val="auto"/>
          <w:sz w:val="32"/>
          <w:szCs w:val="32"/>
          <w:shd w:val="clear" w:color="auto" w:fill="auto"/>
          <w:lang w:eastAsia="zh-CN"/>
        </w:rPr>
        <w:t>我</w:t>
      </w:r>
      <w:r>
        <w:rPr>
          <w:rFonts w:hint="eastAsia" w:ascii="仿宋" w:hAnsi="仿宋" w:eastAsia="仿宋" w:cs="仿宋"/>
          <w:color w:val="auto"/>
          <w:sz w:val="32"/>
          <w:szCs w:val="32"/>
          <w:shd w:val="clear" w:color="auto" w:fill="auto"/>
          <w:lang w:val="en-US" w:eastAsia="zh-CN"/>
        </w:rPr>
        <w:t>市</w:t>
      </w:r>
      <w:r>
        <w:rPr>
          <w:rFonts w:hint="eastAsia" w:ascii="仿宋" w:hAnsi="仿宋" w:eastAsia="仿宋" w:cs="仿宋"/>
          <w:color w:val="auto"/>
          <w:sz w:val="32"/>
          <w:szCs w:val="32"/>
          <w:shd w:val="clear" w:color="auto" w:fill="auto"/>
        </w:rPr>
        <w:t>行政区域内从事</w:t>
      </w:r>
      <w:r>
        <w:rPr>
          <w:rFonts w:hint="eastAsia" w:ascii="Times New Roman" w:hAnsi="Times New Roman" w:eastAsia="仿宋_GB2312"/>
          <w:color w:val="auto"/>
          <w:sz w:val="32"/>
          <w:szCs w:val="32"/>
          <w:shd w:val="clear" w:color="auto" w:fill="auto"/>
        </w:rPr>
        <w:t>房屋建筑和市政基础设施工程（以下简称房建市政工程）活动的</w:t>
      </w:r>
      <w:r>
        <w:rPr>
          <w:rFonts w:hint="eastAsia" w:ascii="仿宋" w:hAnsi="仿宋" w:eastAsia="仿宋" w:cs="仿宋"/>
          <w:color w:val="auto"/>
          <w:sz w:val="32"/>
          <w:szCs w:val="32"/>
          <w:shd w:val="clear" w:color="auto" w:fill="auto"/>
        </w:rPr>
        <w:t>建筑市场主体，开展信用评价工作，适用本</w:t>
      </w:r>
      <w:r>
        <w:rPr>
          <w:rFonts w:hint="eastAsia" w:ascii="仿宋" w:hAnsi="仿宋" w:eastAsia="仿宋" w:cs="仿宋"/>
          <w:color w:val="auto"/>
          <w:sz w:val="32"/>
          <w:szCs w:val="32"/>
          <w:shd w:val="clear" w:color="auto" w:fill="auto"/>
          <w:lang w:eastAsia="zh-CN"/>
        </w:rPr>
        <w:t>办法</w:t>
      </w:r>
      <w:r>
        <w:rPr>
          <w:rFonts w:hint="eastAsia" w:ascii="仿宋" w:hAnsi="仿宋" w:eastAsia="仿宋" w:cs="仿宋"/>
          <w:color w:val="auto"/>
          <w:sz w:val="32"/>
          <w:szCs w:val="32"/>
          <w:shd w:val="clear" w:color="auto" w:fill="auto"/>
        </w:rPr>
        <w:t>。</w:t>
      </w:r>
    </w:p>
    <w:p>
      <w:pPr>
        <w:widowControl/>
        <w:numPr>
          <w:ilvl w:val="255"/>
          <w:numId w:val="0"/>
        </w:numPr>
        <w:shd w:val="clear"/>
        <w:ind w:firstLine="618" w:firstLineChars="200"/>
        <w:jc w:val="left"/>
        <w:rPr>
          <w:rFonts w:ascii="黑体" w:hAnsi="黑体" w:eastAsia="黑体" w:cs="黑体"/>
          <w:color w:val="auto"/>
          <w:sz w:val="32"/>
          <w:szCs w:val="32"/>
          <w:shd w:val="clear" w:color="auto" w:fill="auto"/>
        </w:rPr>
      </w:pPr>
      <w:r>
        <w:rPr>
          <w:rFonts w:hint="eastAsia" w:ascii="黑体" w:hAnsi="黑体" w:eastAsia="黑体" w:cs="黑体"/>
          <w:color w:val="auto"/>
          <w:sz w:val="32"/>
          <w:szCs w:val="32"/>
          <w:shd w:val="clear" w:color="auto" w:fill="auto"/>
        </w:rPr>
        <w:t xml:space="preserve">第三条 </w:t>
      </w:r>
      <w:r>
        <w:rPr>
          <w:rFonts w:hint="eastAsia" w:ascii="仿宋" w:hAnsi="仿宋" w:eastAsia="仿宋" w:cs="仿宋"/>
          <w:color w:val="auto"/>
          <w:sz w:val="32"/>
          <w:szCs w:val="32"/>
          <w:shd w:val="clear" w:color="auto" w:fill="auto"/>
        </w:rPr>
        <w:t>本</w:t>
      </w:r>
      <w:r>
        <w:rPr>
          <w:rFonts w:hint="eastAsia" w:ascii="仿宋" w:hAnsi="仿宋" w:eastAsia="仿宋" w:cs="仿宋"/>
          <w:color w:val="auto"/>
          <w:sz w:val="32"/>
          <w:szCs w:val="32"/>
          <w:shd w:val="clear" w:color="auto" w:fill="auto"/>
          <w:lang w:eastAsia="zh-CN"/>
        </w:rPr>
        <w:t>办法</w:t>
      </w:r>
      <w:r>
        <w:rPr>
          <w:rFonts w:hint="eastAsia" w:ascii="仿宋" w:hAnsi="仿宋" w:eastAsia="仿宋" w:cs="仿宋"/>
          <w:color w:val="auto"/>
          <w:sz w:val="32"/>
          <w:szCs w:val="32"/>
          <w:shd w:val="clear" w:color="auto" w:fill="auto"/>
        </w:rPr>
        <w:t>所称建筑市场主体信用评价（以下简称为信用评价），是指对建筑市场主体的市场行为进行的信用综合量化评分（以下简称为信用评分）</w:t>
      </w:r>
      <w:r>
        <w:rPr>
          <w:rFonts w:hint="eastAsia" w:ascii="仿宋" w:hAnsi="仿宋" w:eastAsia="仿宋" w:cs="仿宋"/>
          <w:color w:val="auto"/>
          <w:sz w:val="32"/>
          <w:szCs w:val="32"/>
          <w:shd w:val="clear" w:color="auto" w:fill="auto"/>
          <w:lang w:val="en-US" w:eastAsia="zh-CN"/>
        </w:rPr>
        <w:t>和</w:t>
      </w:r>
      <w:r>
        <w:rPr>
          <w:rFonts w:hint="eastAsia" w:ascii="仿宋" w:hAnsi="仿宋" w:eastAsia="仿宋" w:cs="仿宋"/>
          <w:color w:val="auto"/>
          <w:sz w:val="32"/>
          <w:szCs w:val="32"/>
          <w:shd w:val="clear" w:color="auto" w:fill="auto"/>
        </w:rPr>
        <w:t>信用评级。</w:t>
      </w:r>
    </w:p>
    <w:p>
      <w:pPr>
        <w:shd w:val="clear"/>
        <w:ind w:firstLine="618" w:firstLineChars="200"/>
        <w:rPr>
          <w:rFonts w:hint="default" w:ascii="仿宋_GB2312" w:hAnsi="仿宋_GB2312" w:eastAsia="仿宋_GB2312"/>
          <w:color w:val="auto"/>
          <w:sz w:val="32"/>
          <w:szCs w:val="32"/>
          <w:shd w:val="clear" w:color="auto" w:fill="auto"/>
          <w:lang w:val="en-US" w:eastAsia="zh-CN"/>
        </w:rPr>
      </w:pPr>
      <w:r>
        <w:rPr>
          <w:rFonts w:hint="eastAsia" w:ascii="黑体" w:hAnsi="黑体" w:eastAsia="黑体" w:cs="黑体"/>
          <w:color w:val="auto"/>
          <w:sz w:val="32"/>
          <w:szCs w:val="32"/>
          <w:shd w:val="clear" w:color="auto" w:fill="auto"/>
        </w:rPr>
        <w:t xml:space="preserve">第四条 </w:t>
      </w:r>
      <w:r>
        <w:rPr>
          <w:rFonts w:hint="eastAsia" w:ascii="Times New Roman" w:hAnsi="Times New Roman" w:eastAsia="仿宋_GB2312"/>
          <w:color w:val="auto"/>
          <w:sz w:val="32"/>
          <w:szCs w:val="32"/>
          <w:shd w:val="clear" w:color="auto" w:fill="auto"/>
        </w:rPr>
        <w:t>本</w:t>
      </w:r>
      <w:r>
        <w:rPr>
          <w:rFonts w:hint="eastAsia" w:ascii="Times New Roman" w:hAnsi="Times New Roman" w:eastAsia="仿宋_GB2312"/>
          <w:color w:val="auto"/>
          <w:sz w:val="32"/>
          <w:szCs w:val="32"/>
          <w:shd w:val="clear" w:color="auto" w:fill="auto"/>
          <w:lang w:eastAsia="zh-CN"/>
        </w:rPr>
        <w:t>办法</w:t>
      </w:r>
      <w:r>
        <w:rPr>
          <w:rFonts w:hint="eastAsia" w:ascii="Times New Roman" w:hAnsi="Times New Roman" w:eastAsia="仿宋_GB2312"/>
          <w:color w:val="auto"/>
          <w:sz w:val="32"/>
          <w:szCs w:val="32"/>
          <w:shd w:val="clear" w:color="auto" w:fill="auto"/>
        </w:rPr>
        <w:t>所称信用主体，是指</w:t>
      </w:r>
      <w:r>
        <w:rPr>
          <w:rFonts w:hint="eastAsia" w:ascii="Times New Roman" w:hAnsi="Times New Roman" w:eastAsia="仿宋_GB2312"/>
          <w:color w:val="auto"/>
          <w:sz w:val="32"/>
          <w:szCs w:val="32"/>
          <w:shd w:val="clear" w:color="auto" w:fill="auto"/>
          <w:lang w:val="en-US" w:eastAsia="zh-CN"/>
        </w:rPr>
        <w:t>本市行政区域内从事</w:t>
      </w:r>
      <w:r>
        <w:rPr>
          <w:rFonts w:hint="eastAsia" w:ascii="Times New Roman" w:hAnsi="Times New Roman" w:eastAsia="仿宋_GB2312"/>
          <w:color w:val="auto"/>
          <w:sz w:val="32"/>
          <w:szCs w:val="32"/>
          <w:shd w:val="clear" w:color="auto" w:fill="auto"/>
        </w:rPr>
        <w:t>房建市政工程建设活动的</w:t>
      </w:r>
      <w:r>
        <w:rPr>
          <w:rFonts w:hint="eastAsia" w:ascii="Times New Roman" w:hAnsi="Times New Roman" w:eastAsia="仿宋_GB2312"/>
          <w:color w:val="auto"/>
          <w:sz w:val="32"/>
          <w:szCs w:val="32"/>
          <w:shd w:val="clear" w:color="auto" w:fill="auto"/>
          <w:lang w:val="en-US" w:eastAsia="zh-CN"/>
        </w:rPr>
        <w:t>建设单位和</w:t>
      </w:r>
      <w:r>
        <w:rPr>
          <w:rFonts w:hint="eastAsia" w:ascii="Times New Roman" w:hAnsi="Times New Roman" w:eastAsia="仿宋_GB2312"/>
          <w:color w:val="auto"/>
          <w:sz w:val="32"/>
          <w:szCs w:val="32"/>
          <w:shd w:val="clear" w:color="auto" w:fill="auto"/>
        </w:rPr>
        <w:t>勘察、设计、施工、监理、招标代理、工程造价咨询</w:t>
      </w:r>
      <w:r>
        <w:rPr>
          <w:rFonts w:hint="eastAsia" w:ascii="Times New Roman" w:hAnsi="Times New Roman" w:eastAsia="仿宋_GB2312"/>
          <w:color w:val="auto"/>
          <w:sz w:val="32"/>
          <w:szCs w:val="32"/>
          <w:shd w:val="clear" w:color="auto" w:fill="auto"/>
          <w:lang w:eastAsia="zh-CN"/>
        </w:rPr>
        <w:t>、</w:t>
      </w:r>
      <w:r>
        <w:rPr>
          <w:rFonts w:hint="eastAsia" w:ascii="Times New Roman" w:hAnsi="Times New Roman" w:eastAsia="仿宋_GB2312"/>
          <w:color w:val="auto"/>
          <w:sz w:val="32"/>
          <w:szCs w:val="32"/>
          <w:shd w:val="clear" w:color="auto" w:fill="auto"/>
        </w:rPr>
        <w:t>工程检测等企业（以下简称为</w:t>
      </w:r>
      <w:r>
        <w:rPr>
          <w:rFonts w:hint="eastAsia" w:ascii="仿宋" w:hAnsi="仿宋" w:eastAsia="仿宋" w:cs="仿宋"/>
          <w:color w:val="auto"/>
          <w:sz w:val="32"/>
          <w:szCs w:val="32"/>
          <w:shd w:val="clear" w:color="auto" w:fill="auto"/>
        </w:rPr>
        <w:t>单位信用主体</w:t>
      </w:r>
      <w:r>
        <w:rPr>
          <w:rFonts w:hint="eastAsia" w:ascii="Times New Roman" w:hAnsi="Times New Roman" w:eastAsia="仿宋_GB2312"/>
          <w:color w:val="auto"/>
          <w:sz w:val="32"/>
          <w:szCs w:val="32"/>
          <w:shd w:val="clear" w:color="auto" w:fill="auto"/>
        </w:rPr>
        <w:t>）</w:t>
      </w:r>
      <w:r>
        <w:rPr>
          <w:rFonts w:hint="eastAsia" w:ascii="Times New Roman" w:hAnsi="Times New Roman" w:eastAsia="仿宋_GB2312"/>
          <w:color w:val="auto"/>
          <w:sz w:val="32"/>
          <w:szCs w:val="32"/>
          <w:shd w:val="clear" w:color="auto" w:fill="auto"/>
          <w:lang w:eastAsia="zh-CN"/>
        </w:rPr>
        <w:t>。</w:t>
      </w:r>
      <w:r>
        <w:rPr>
          <w:rFonts w:hint="eastAsia" w:ascii="仿宋_GB2312" w:hAnsi="仿宋_GB2312" w:eastAsia="仿宋_GB2312"/>
          <w:color w:val="auto"/>
          <w:sz w:val="32"/>
          <w:szCs w:val="32"/>
          <w:shd w:val="clear" w:color="auto" w:fill="auto"/>
          <w:lang w:val="en-US" w:eastAsia="zh-CN"/>
        </w:rPr>
        <w:t>建设单位信用主体仅进行信用评</w:t>
      </w:r>
      <w:r>
        <w:rPr>
          <w:rFonts w:hint="eastAsia" w:ascii="仿宋" w:hAnsi="仿宋" w:eastAsia="仿宋" w:cs="仿宋"/>
          <w:color w:val="auto"/>
          <w:sz w:val="32"/>
          <w:szCs w:val="32"/>
          <w:shd w:val="clear" w:color="auto" w:fill="auto"/>
          <w:lang w:val="en-US" w:eastAsia="zh-CN"/>
        </w:rPr>
        <w:t>分，不进行等级评价。</w:t>
      </w:r>
    </w:p>
    <w:p>
      <w:pPr>
        <w:widowControl/>
        <w:numPr>
          <w:ilvl w:val="255"/>
          <w:numId w:val="0"/>
        </w:numPr>
        <w:shd w:val="clear"/>
        <w:ind w:firstLine="618" w:firstLineChars="200"/>
        <w:jc w:val="both"/>
        <w:rPr>
          <w:rFonts w:ascii="黑体" w:hAnsi="黑体" w:eastAsia="黑体" w:cs="黑体"/>
          <w:color w:val="auto"/>
          <w:sz w:val="32"/>
          <w:szCs w:val="32"/>
          <w:shd w:val="clear" w:color="auto" w:fill="auto"/>
        </w:rPr>
      </w:pPr>
      <w:r>
        <w:rPr>
          <w:rFonts w:hint="eastAsia" w:ascii="黑体" w:hAnsi="黑体" w:eastAsia="黑体" w:cs="黑体"/>
          <w:color w:val="auto"/>
          <w:sz w:val="32"/>
          <w:szCs w:val="32"/>
          <w:shd w:val="clear" w:color="auto" w:fill="auto"/>
        </w:rPr>
        <w:t xml:space="preserve">第五条 </w:t>
      </w:r>
      <w:r>
        <w:rPr>
          <w:rFonts w:hint="eastAsia" w:ascii="Times New Roman" w:hAnsi="Times New Roman" w:eastAsia="仿宋_GB2312"/>
          <w:color w:val="auto"/>
          <w:sz w:val="32"/>
          <w:szCs w:val="32"/>
          <w:shd w:val="clear" w:color="auto" w:fill="auto"/>
          <w:lang w:val="en-US" w:eastAsia="zh-CN"/>
        </w:rPr>
        <w:t>周口市</w:t>
      </w:r>
      <w:r>
        <w:rPr>
          <w:rFonts w:hint="eastAsia" w:ascii="Times New Roman" w:hAnsi="Times New Roman" w:eastAsia="仿宋_GB2312"/>
          <w:color w:val="auto"/>
          <w:sz w:val="32"/>
          <w:szCs w:val="32"/>
          <w:shd w:val="clear" w:color="auto" w:fill="auto"/>
        </w:rPr>
        <w:t>住房城乡建设</w:t>
      </w:r>
      <w:r>
        <w:rPr>
          <w:rFonts w:hint="eastAsia" w:ascii="Times New Roman" w:hAnsi="Times New Roman" w:eastAsia="仿宋_GB2312"/>
          <w:color w:val="auto"/>
          <w:sz w:val="32"/>
          <w:szCs w:val="32"/>
          <w:shd w:val="clear" w:color="auto" w:fill="auto"/>
          <w:lang w:val="en-US" w:eastAsia="zh-CN"/>
        </w:rPr>
        <w:t>局</w:t>
      </w:r>
      <w:r>
        <w:rPr>
          <w:rFonts w:hint="eastAsia" w:ascii="Times New Roman" w:hAnsi="Times New Roman" w:eastAsia="仿宋_GB2312"/>
          <w:color w:val="auto"/>
          <w:sz w:val="32"/>
          <w:szCs w:val="32"/>
          <w:shd w:val="clear" w:color="auto" w:fill="auto"/>
        </w:rPr>
        <w:t>负责实施全</w:t>
      </w:r>
      <w:r>
        <w:rPr>
          <w:rFonts w:hint="eastAsia" w:ascii="Times New Roman" w:hAnsi="Times New Roman" w:eastAsia="仿宋_GB2312"/>
          <w:color w:val="auto"/>
          <w:sz w:val="32"/>
          <w:szCs w:val="32"/>
          <w:shd w:val="clear" w:color="auto" w:fill="auto"/>
          <w:lang w:val="en-US" w:eastAsia="zh-CN"/>
        </w:rPr>
        <w:t>市</w:t>
      </w:r>
      <w:r>
        <w:rPr>
          <w:rFonts w:hint="eastAsia" w:ascii="Times New Roman" w:hAnsi="Times New Roman" w:eastAsia="仿宋_GB2312"/>
          <w:color w:val="auto"/>
          <w:sz w:val="32"/>
          <w:szCs w:val="32"/>
          <w:shd w:val="clear" w:color="auto" w:fill="auto"/>
        </w:rPr>
        <w:t>建筑市场</w:t>
      </w:r>
      <w:r>
        <w:rPr>
          <w:rFonts w:hint="eastAsia" w:ascii="Times New Roman" w:hAnsi="Times New Roman" w:eastAsia="仿宋_GB2312"/>
          <w:color w:val="auto"/>
          <w:sz w:val="32"/>
          <w:szCs w:val="32"/>
          <w:shd w:val="clear" w:color="auto" w:fill="auto"/>
          <w:lang w:val="en-US" w:eastAsia="zh-CN"/>
        </w:rPr>
        <w:t>单位</w:t>
      </w:r>
      <w:r>
        <w:rPr>
          <w:rFonts w:hint="eastAsia" w:ascii="Times New Roman" w:hAnsi="Times New Roman" w:eastAsia="仿宋_GB2312"/>
          <w:color w:val="auto"/>
          <w:sz w:val="32"/>
          <w:szCs w:val="32"/>
          <w:shd w:val="clear" w:color="auto" w:fill="auto"/>
        </w:rPr>
        <w:t>信用</w:t>
      </w:r>
      <w:r>
        <w:rPr>
          <w:rFonts w:hint="eastAsia" w:ascii="Times New Roman" w:hAnsi="Times New Roman" w:eastAsia="仿宋_GB2312"/>
          <w:color w:val="auto"/>
          <w:sz w:val="32"/>
          <w:szCs w:val="32"/>
          <w:shd w:val="clear" w:color="auto" w:fill="auto"/>
          <w:lang w:val="en-US" w:eastAsia="zh-CN"/>
        </w:rPr>
        <w:t>主体信用</w:t>
      </w:r>
      <w:r>
        <w:rPr>
          <w:rFonts w:hint="eastAsia" w:ascii="Times New Roman" w:hAnsi="Times New Roman" w:eastAsia="仿宋_GB2312"/>
          <w:color w:val="auto"/>
          <w:sz w:val="32"/>
          <w:szCs w:val="32"/>
          <w:shd w:val="clear" w:color="auto" w:fill="auto"/>
        </w:rPr>
        <w:t>评价工作。</w:t>
      </w:r>
    </w:p>
    <w:p>
      <w:pPr>
        <w:widowControl/>
        <w:shd w:val="clear"/>
        <w:ind w:firstLine="618" w:firstLineChars="200"/>
        <w:jc w:val="both"/>
        <w:rPr>
          <w:rFonts w:hint="eastAsia" w:ascii="Times New Roman" w:hAnsi="Times New Roman" w:eastAsia="仿宋_GB2312"/>
          <w:color w:val="auto"/>
          <w:sz w:val="32"/>
          <w:szCs w:val="32"/>
          <w:shd w:val="clear" w:color="auto" w:fill="auto"/>
          <w:lang w:val="en-US" w:eastAsia="zh-CN"/>
        </w:rPr>
      </w:pPr>
      <w:r>
        <w:rPr>
          <w:rFonts w:hint="eastAsia" w:ascii="黑体" w:hAnsi="黑体" w:eastAsia="黑体" w:cs="黑体"/>
          <w:color w:val="auto"/>
          <w:sz w:val="32"/>
          <w:szCs w:val="32"/>
          <w:shd w:val="clear" w:color="auto" w:fill="auto"/>
        </w:rPr>
        <w:t xml:space="preserve">第六条 </w:t>
      </w:r>
      <w:r>
        <w:rPr>
          <w:rFonts w:hint="eastAsia" w:ascii="仿宋" w:hAnsi="仿宋" w:eastAsia="仿宋" w:cs="仿宋"/>
          <w:color w:val="auto"/>
          <w:sz w:val="32"/>
          <w:szCs w:val="32"/>
          <w:shd w:val="clear" w:color="auto" w:fill="auto"/>
        </w:rPr>
        <w:t>信用评分采用综合评价法。信用分值</w:t>
      </w:r>
      <w:r>
        <w:rPr>
          <w:rFonts w:hint="eastAsia" w:ascii="Times New Roman" w:hAnsi="Times New Roman" w:eastAsia="仿宋_GB2312"/>
          <w:color w:val="auto"/>
          <w:sz w:val="32"/>
          <w:szCs w:val="32"/>
          <w:shd w:val="clear" w:color="auto" w:fill="auto"/>
        </w:rPr>
        <w:t>由基础分值、优良信用分值、不良信用分值</w:t>
      </w:r>
      <w:r>
        <w:rPr>
          <w:rFonts w:hint="eastAsia" w:ascii="Times New Roman" w:hAnsi="Times New Roman" w:eastAsia="仿宋_GB2312"/>
          <w:color w:val="auto"/>
          <w:sz w:val="32"/>
          <w:szCs w:val="32"/>
          <w:shd w:val="clear" w:color="auto" w:fill="auto"/>
          <w:lang w:val="en-US" w:eastAsia="zh-CN"/>
        </w:rPr>
        <w:t>和工程业绩分值</w:t>
      </w:r>
      <w:r>
        <w:rPr>
          <w:rFonts w:hint="eastAsia" w:ascii="Times New Roman" w:hAnsi="Times New Roman" w:eastAsia="仿宋_GB2312"/>
          <w:color w:val="auto"/>
          <w:sz w:val="32"/>
          <w:szCs w:val="32"/>
          <w:shd w:val="clear" w:color="auto" w:fill="auto"/>
        </w:rPr>
        <w:t>组成。计分公式如下：</w:t>
      </w:r>
      <w:r>
        <w:rPr>
          <w:rFonts w:hint="eastAsia" w:ascii="Times New Roman" w:hAnsi="Times New Roman" w:eastAsia="仿宋_GB2312"/>
          <w:color w:val="auto"/>
          <w:sz w:val="32"/>
          <w:szCs w:val="32"/>
          <w:shd w:val="clear" w:color="auto" w:fill="auto"/>
          <w:lang w:val="en-US" w:eastAsia="zh-CN"/>
        </w:rPr>
        <w:t xml:space="preserve"> </w:t>
      </w:r>
    </w:p>
    <w:p>
      <w:pPr>
        <w:widowControl/>
        <w:shd w:val="clear"/>
        <w:ind w:firstLine="618" w:firstLineChars="200"/>
        <w:jc w:val="left"/>
        <w:rPr>
          <w:rFonts w:ascii="Times New Roman" w:hAnsi="Times New Roman" w:eastAsia="仿宋_GB2312"/>
          <w:color w:val="auto"/>
          <w:sz w:val="32"/>
          <w:szCs w:val="32"/>
          <w:shd w:val="clear" w:color="auto" w:fill="auto"/>
        </w:rPr>
      </w:pPr>
      <w:r>
        <w:rPr>
          <w:rFonts w:hint="eastAsia" w:ascii="Times New Roman" w:hAnsi="Times New Roman" w:eastAsia="仿宋_GB2312"/>
          <w:color w:val="auto"/>
          <w:sz w:val="32"/>
          <w:szCs w:val="32"/>
          <w:shd w:val="clear" w:color="auto" w:fill="auto"/>
          <w:lang w:val="en-US" w:eastAsia="zh-CN"/>
        </w:rPr>
        <w:t>建设</w:t>
      </w:r>
      <w:r>
        <w:rPr>
          <w:rFonts w:hint="eastAsia" w:ascii="Times New Roman" w:hAnsi="Times New Roman" w:eastAsia="仿宋_GB2312"/>
          <w:color w:val="auto"/>
          <w:sz w:val="32"/>
          <w:szCs w:val="32"/>
          <w:shd w:val="clear" w:color="auto" w:fill="auto"/>
        </w:rPr>
        <w:t>单位信用主体信用分值</w:t>
      </w:r>
      <w:r>
        <w:rPr>
          <w:rFonts w:ascii="Times New Roman" w:hAnsi="Times New Roman" w:eastAsia="仿宋_GB2312"/>
          <w:color w:val="auto"/>
          <w:sz w:val="32"/>
          <w:szCs w:val="32"/>
          <w:shd w:val="clear" w:color="auto" w:fill="auto"/>
        </w:rPr>
        <w:t>=</w:t>
      </w:r>
      <w:r>
        <w:rPr>
          <w:rFonts w:hint="eastAsia" w:ascii="Times New Roman" w:hAnsi="Times New Roman" w:eastAsia="仿宋_GB2312"/>
          <w:color w:val="auto"/>
          <w:sz w:val="32"/>
          <w:szCs w:val="32"/>
          <w:shd w:val="clear" w:color="auto" w:fill="auto"/>
        </w:rPr>
        <w:t>基础分值</w:t>
      </w:r>
      <w:r>
        <w:rPr>
          <w:rFonts w:ascii="Times New Roman" w:hAnsi="Times New Roman" w:eastAsia="仿宋_GB2312"/>
          <w:color w:val="auto"/>
          <w:sz w:val="32"/>
          <w:szCs w:val="32"/>
          <w:shd w:val="clear" w:color="auto" w:fill="auto"/>
        </w:rPr>
        <w:t>+</w:t>
      </w:r>
      <w:r>
        <w:rPr>
          <w:rFonts w:hint="eastAsia" w:ascii="Times New Roman" w:hAnsi="Times New Roman" w:eastAsia="仿宋_GB2312"/>
          <w:color w:val="auto"/>
          <w:sz w:val="32"/>
          <w:szCs w:val="32"/>
          <w:shd w:val="clear" w:color="auto" w:fill="auto"/>
        </w:rPr>
        <w:t>优良信用分值</w:t>
      </w:r>
      <w:r>
        <w:rPr>
          <w:rFonts w:ascii="Times New Roman" w:hAnsi="Times New Roman" w:eastAsia="仿宋_GB2312"/>
          <w:color w:val="auto"/>
          <w:sz w:val="32"/>
          <w:szCs w:val="32"/>
          <w:shd w:val="clear" w:color="auto" w:fill="auto"/>
        </w:rPr>
        <w:t>-</w:t>
      </w:r>
      <w:r>
        <w:rPr>
          <w:rFonts w:hint="eastAsia" w:ascii="Times New Roman" w:hAnsi="Times New Roman" w:eastAsia="仿宋_GB2312"/>
          <w:color w:val="auto"/>
          <w:sz w:val="32"/>
          <w:szCs w:val="32"/>
          <w:shd w:val="clear" w:color="auto" w:fill="auto"/>
        </w:rPr>
        <w:t>不良信用分值；</w:t>
      </w:r>
    </w:p>
    <w:p>
      <w:pPr>
        <w:widowControl/>
        <w:shd w:val="clear"/>
        <w:ind w:firstLine="618" w:firstLineChars="200"/>
        <w:jc w:val="left"/>
        <w:rPr>
          <w:rFonts w:ascii="Times New Roman" w:hAnsi="Times New Roman" w:eastAsia="仿宋_GB2312"/>
          <w:color w:val="auto"/>
          <w:sz w:val="32"/>
          <w:szCs w:val="32"/>
          <w:shd w:val="clear" w:color="auto" w:fill="auto"/>
        </w:rPr>
      </w:pPr>
      <w:r>
        <w:rPr>
          <w:rFonts w:hint="eastAsia" w:ascii="Times New Roman" w:hAnsi="Times New Roman" w:eastAsia="仿宋_GB2312"/>
          <w:color w:val="auto"/>
          <w:sz w:val="32"/>
          <w:szCs w:val="32"/>
          <w:shd w:val="clear" w:color="auto" w:fill="auto"/>
          <w:lang w:val="en-US" w:eastAsia="zh-CN"/>
        </w:rPr>
        <w:t>其他</w:t>
      </w:r>
      <w:r>
        <w:rPr>
          <w:rFonts w:hint="eastAsia" w:ascii="Times New Roman" w:hAnsi="Times New Roman" w:eastAsia="仿宋_GB2312"/>
          <w:color w:val="auto"/>
          <w:sz w:val="32"/>
          <w:szCs w:val="32"/>
          <w:shd w:val="clear" w:color="auto" w:fill="auto"/>
        </w:rPr>
        <w:t>单位信用主体信用分值</w:t>
      </w:r>
      <w:r>
        <w:rPr>
          <w:rFonts w:ascii="Times New Roman" w:hAnsi="Times New Roman" w:eastAsia="仿宋_GB2312"/>
          <w:color w:val="auto"/>
          <w:sz w:val="32"/>
          <w:szCs w:val="32"/>
          <w:shd w:val="clear" w:color="auto" w:fill="auto"/>
        </w:rPr>
        <w:t>=</w:t>
      </w:r>
      <w:r>
        <w:rPr>
          <w:rFonts w:hint="eastAsia" w:ascii="Times New Roman" w:hAnsi="Times New Roman" w:eastAsia="仿宋_GB2312"/>
          <w:color w:val="auto"/>
          <w:sz w:val="32"/>
          <w:szCs w:val="32"/>
          <w:shd w:val="clear" w:color="auto" w:fill="auto"/>
        </w:rPr>
        <w:t>基础分值</w:t>
      </w:r>
      <w:r>
        <w:rPr>
          <w:rFonts w:ascii="Times New Roman" w:hAnsi="Times New Roman" w:eastAsia="仿宋_GB2312"/>
          <w:color w:val="auto"/>
          <w:sz w:val="32"/>
          <w:szCs w:val="32"/>
          <w:shd w:val="clear" w:color="auto" w:fill="auto"/>
        </w:rPr>
        <w:t>+</w:t>
      </w:r>
      <w:r>
        <w:rPr>
          <w:rFonts w:hint="eastAsia" w:ascii="Times New Roman" w:hAnsi="Times New Roman" w:eastAsia="仿宋_GB2312"/>
          <w:color w:val="auto"/>
          <w:sz w:val="32"/>
          <w:szCs w:val="32"/>
          <w:shd w:val="clear" w:color="auto" w:fill="auto"/>
        </w:rPr>
        <w:t>优良信用分值+</w:t>
      </w:r>
      <w:r>
        <w:rPr>
          <w:rFonts w:hint="eastAsia" w:ascii="Times New Roman" w:hAnsi="Times New Roman" w:eastAsia="仿宋_GB2312"/>
          <w:color w:val="auto"/>
          <w:sz w:val="32"/>
          <w:szCs w:val="32"/>
          <w:shd w:val="clear" w:color="auto" w:fill="auto"/>
          <w:lang w:val="en-US" w:eastAsia="zh-CN"/>
        </w:rPr>
        <w:t>工程业绩</w:t>
      </w:r>
      <w:r>
        <w:rPr>
          <w:rFonts w:hint="eastAsia" w:ascii="Times New Roman" w:hAnsi="Times New Roman" w:eastAsia="仿宋_GB2312"/>
          <w:color w:val="auto"/>
          <w:sz w:val="32"/>
          <w:szCs w:val="32"/>
          <w:shd w:val="clear" w:color="auto" w:fill="auto"/>
        </w:rPr>
        <w:t>分值</w:t>
      </w:r>
      <w:r>
        <w:rPr>
          <w:rFonts w:ascii="Times New Roman" w:hAnsi="Times New Roman" w:eastAsia="仿宋_GB2312"/>
          <w:color w:val="auto"/>
          <w:sz w:val="32"/>
          <w:szCs w:val="32"/>
          <w:shd w:val="clear" w:color="auto" w:fill="auto"/>
        </w:rPr>
        <w:t>-</w:t>
      </w:r>
      <w:r>
        <w:rPr>
          <w:rFonts w:hint="eastAsia" w:ascii="Times New Roman" w:hAnsi="Times New Roman" w:eastAsia="仿宋_GB2312"/>
          <w:color w:val="auto"/>
          <w:sz w:val="32"/>
          <w:szCs w:val="32"/>
          <w:shd w:val="clear" w:color="auto" w:fill="auto"/>
        </w:rPr>
        <w:t>不良信用分值；</w:t>
      </w:r>
    </w:p>
    <w:p>
      <w:pPr>
        <w:widowControl/>
        <w:shd w:val="clear"/>
        <w:ind w:firstLine="618" w:firstLineChars="200"/>
        <w:jc w:val="both"/>
        <w:rPr>
          <w:rFonts w:hint="eastAsia" w:ascii="仿宋_GB2312" w:hAnsi="仿宋_GB2312" w:eastAsia="仿宋_GB2312" w:cs="仿宋_GB2312"/>
          <w:color w:val="auto"/>
          <w:sz w:val="32"/>
          <w:szCs w:val="32"/>
          <w:shd w:val="clear" w:color="auto" w:fill="auto"/>
        </w:rPr>
      </w:pPr>
      <w:r>
        <w:rPr>
          <w:rFonts w:hint="eastAsia" w:ascii="黑体" w:hAnsi="黑体" w:eastAsia="黑体" w:cs="黑体"/>
          <w:color w:val="auto"/>
          <w:sz w:val="32"/>
          <w:szCs w:val="32"/>
          <w:shd w:val="clear" w:color="auto" w:fill="auto"/>
        </w:rPr>
        <w:t xml:space="preserve">第七条 </w:t>
      </w:r>
      <w:r>
        <w:rPr>
          <w:rFonts w:hint="eastAsia" w:ascii="Times New Roman" w:hAnsi="Times New Roman" w:eastAsia="仿宋_GB2312"/>
          <w:color w:val="auto"/>
          <w:sz w:val="32"/>
          <w:szCs w:val="32"/>
          <w:shd w:val="clear" w:color="auto" w:fill="auto"/>
        </w:rPr>
        <w:t xml:space="preserve"> </w:t>
      </w:r>
      <w:r>
        <w:rPr>
          <w:rFonts w:hint="eastAsia" w:ascii="Times New Roman" w:hAnsi="Times New Roman" w:eastAsia="仿宋_GB2312"/>
          <w:color w:val="auto"/>
          <w:sz w:val="32"/>
          <w:szCs w:val="32"/>
          <w:shd w:val="clear" w:color="auto" w:fill="auto"/>
          <w:lang w:val="en-US" w:eastAsia="zh-CN"/>
        </w:rPr>
        <w:t>建设单位信用主体</w:t>
      </w:r>
      <w:r>
        <w:rPr>
          <w:rFonts w:hint="eastAsia" w:ascii="Times New Roman" w:hAnsi="Times New Roman" w:eastAsia="仿宋_GB2312"/>
          <w:color w:val="auto"/>
          <w:sz w:val="32"/>
          <w:szCs w:val="32"/>
          <w:shd w:val="clear" w:color="auto" w:fill="auto"/>
        </w:rPr>
        <w:t>基础分值为</w:t>
      </w:r>
      <w:r>
        <w:rPr>
          <w:rFonts w:hint="eastAsia" w:ascii="CESI仿宋-GB2312" w:hAnsi="CESI仿宋-GB2312" w:eastAsia="CESI仿宋-GB2312" w:cs="CESI仿宋-GB2312"/>
          <w:color w:val="auto"/>
          <w:sz w:val="32"/>
          <w:szCs w:val="32"/>
          <w:shd w:val="clear" w:color="auto" w:fill="auto"/>
          <w:lang w:val="en-US" w:eastAsia="zh-CN"/>
        </w:rPr>
        <w:t>100分</w:t>
      </w:r>
      <w:r>
        <w:rPr>
          <w:rFonts w:hint="eastAsia" w:ascii="Times New Roman" w:hAnsi="Times New Roman" w:eastAsia="仿宋_GB2312"/>
          <w:color w:val="auto"/>
          <w:sz w:val="32"/>
          <w:szCs w:val="32"/>
          <w:shd w:val="clear" w:color="auto" w:fill="auto"/>
          <w:lang w:val="en-US" w:eastAsia="zh-CN"/>
        </w:rPr>
        <w:t>；其他单位信用主体</w:t>
      </w:r>
      <w:r>
        <w:rPr>
          <w:rFonts w:hint="eastAsia" w:ascii="Times New Roman" w:hAnsi="Times New Roman" w:eastAsia="仿宋_GB2312"/>
          <w:color w:val="auto"/>
          <w:sz w:val="32"/>
          <w:szCs w:val="32"/>
          <w:shd w:val="clear" w:color="auto" w:fill="auto"/>
        </w:rPr>
        <w:t>基础分值为</w:t>
      </w:r>
      <w:r>
        <w:rPr>
          <w:rFonts w:hint="eastAsia" w:ascii="CESI仿宋-GB2312" w:hAnsi="CESI仿宋-GB2312" w:eastAsia="CESI仿宋-GB2312" w:cs="CESI仿宋-GB2312"/>
          <w:color w:val="auto"/>
          <w:sz w:val="32"/>
          <w:szCs w:val="32"/>
          <w:shd w:val="clear" w:color="auto" w:fill="auto"/>
        </w:rPr>
        <w:t>80分。</w:t>
      </w:r>
      <w:r>
        <w:rPr>
          <w:rFonts w:hint="eastAsia" w:ascii="Times New Roman" w:hAnsi="Times New Roman" w:eastAsia="仿宋_GB2312"/>
          <w:color w:val="auto"/>
          <w:sz w:val="32"/>
          <w:szCs w:val="32"/>
          <w:shd w:val="clear" w:color="auto" w:fill="auto"/>
        </w:rPr>
        <w:t>首次参与评价的信用主体</w:t>
      </w:r>
      <w:r>
        <w:rPr>
          <w:rFonts w:hint="eastAsia" w:ascii="Times New Roman" w:hAnsi="Times New Roman" w:eastAsia="仿宋_GB2312"/>
          <w:color w:val="auto"/>
          <w:sz w:val="32"/>
          <w:szCs w:val="32"/>
          <w:shd w:val="clear" w:color="auto" w:fill="auto"/>
          <w:lang w:val="en-US" w:eastAsia="zh-CN"/>
        </w:rPr>
        <w:t>基本信息真实、完整、有效的</w:t>
      </w:r>
      <w:r>
        <w:rPr>
          <w:rFonts w:hint="eastAsia" w:ascii="Times New Roman" w:hAnsi="Times New Roman" w:eastAsia="仿宋_GB2312"/>
          <w:color w:val="auto"/>
          <w:sz w:val="32"/>
          <w:szCs w:val="32"/>
          <w:shd w:val="clear" w:color="auto" w:fill="auto"/>
        </w:rPr>
        <w:t>均取得该分值。</w:t>
      </w:r>
      <w:r>
        <w:rPr>
          <w:rFonts w:hint="eastAsia" w:ascii="仿宋_GB2312" w:hAnsi="仿宋_GB2312" w:eastAsia="仿宋_GB2312" w:cs="仿宋_GB2312"/>
          <w:color w:val="auto"/>
          <w:sz w:val="32"/>
          <w:szCs w:val="32"/>
          <w:shd w:val="clear" w:color="auto" w:fill="auto"/>
        </w:rPr>
        <w:t>基本信息是指信用主体的基本情况信息，包括信用主体的注册登记、资质、工程项目、注册执业人员、主要安全管理人员等信息。</w:t>
      </w:r>
    </w:p>
    <w:p>
      <w:pPr>
        <w:widowControl/>
        <w:numPr>
          <w:ilvl w:val="255"/>
          <w:numId w:val="0"/>
        </w:numPr>
        <w:shd w:val="clear"/>
        <w:ind w:firstLine="618" w:firstLineChars="200"/>
        <w:rPr>
          <w:rFonts w:ascii="Times New Roman" w:hAnsi="Times New Roman" w:eastAsia="仿宋_GB2312"/>
          <w:color w:val="auto"/>
          <w:sz w:val="32"/>
          <w:szCs w:val="32"/>
          <w:shd w:val="clear" w:color="auto" w:fill="auto"/>
        </w:rPr>
      </w:pPr>
      <w:r>
        <w:rPr>
          <w:rFonts w:hint="eastAsia" w:ascii="黑体" w:hAnsi="黑体" w:eastAsia="黑体" w:cs="黑体"/>
          <w:color w:val="auto"/>
          <w:sz w:val="32"/>
          <w:szCs w:val="32"/>
          <w:shd w:val="clear" w:color="auto" w:fill="auto"/>
        </w:rPr>
        <w:t>第</w:t>
      </w:r>
      <w:r>
        <w:rPr>
          <w:rFonts w:hint="eastAsia" w:ascii="黑体" w:hAnsi="黑体" w:eastAsia="黑体" w:cs="黑体"/>
          <w:color w:val="auto"/>
          <w:sz w:val="32"/>
          <w:szCs w:val="32"/>
          <w:shd w:val="clear" w:color="auto" w:fill="auto"/>
          <w:lang w:val="en-US" w:eastAsia="zh-CN"/>
        </w:rPr>
        <w:t>八</w:t>
      </w:r>
      <w:r>
        <w:rPr>
          <w:rFonts w:hint="eastAsia" w:ascii="黑体" w:hAnsi="黑体" w:eastAsia="黑体" w:cs="黑体"/>
          <w:color w:val="auto"/>
          <w:sz w:val="32"/>
          <w:szCs w:val="32"/>
          <w:shd w:val="clear" w:color="auto" w:fill="auto"/>
        </w:rPr>
        <w:t xml:space="preserve">条 </w:t>
      </w:r>
      <w:r>
        <w:rPr>
          <w:rFonts w:hint="eastAsia" w:ascii="Times New Roman" w:hAnsi="Times New Roman" w:eastAsia="仿宋_GB2312"/>
          <w:color w:val="auto"/>
          <w:sz w:val="32"/>
          <w:szCs w:val="32"/>
          <w:shd w:val="clear" w:color="auto" w:fill="auto"/>
        </w:rPr>
        <w:t>优良</w:t>
      </w:r>
      <w:r>
        <w:rPr>
          <w:rFonts w:hint="eastAsia" w:ascii="仿宋_GB2312" w:hAnsi="仿宋_GB2312" w:eastAsia="仿宋_GB2312"/>
          <w:color w:val="auto"/>
          <w:sz w:val="32"/>
          <w:szCs w:val="32"/>
          <w:shd w:val="clear" w:color="auto" w:fill="auto"/>
        </w:rPr>
        <w:t>信用</w:t>
      </w:r>
      <w:r>
        <w:rPr>
          <w:rFonts w:hint="eastAsia" w:ascii="Times New Roman" w:hAnsi="Times New Roman" w:eastAsia="仿宋_GB2312"/>
          <w:color w:val="auto"/>
          <w:sz w:val="32"/>
          <w:szCs w:val="32"/>
          <w:shd w:val="clear" w:color="auto" w:fill="auto"/>
        </w:rPr>
        <w:t>、不良信用和</w:t>
      </w:r>
      <w:r>
        <w:rPr>
          <w:rFonts w:hint="eastAsia" w:ascii="Times New Roman" w:hAnsi="Times New Roman" w:eastAsia="仿宋_GB2312"/>
          <w:color w:val="auto"/>
          <w:sz w:val="32"/>
          <w:szCs w:val="32"/>
          <w:shd w:val="clear" w:color="auto" w:fill="auto"/>
          <w:lang w:val="en-US" w:eastAsia="zh-CN"/>
        </w:rPr>
        <w:t>工程业绩</w:t>
      </w:r>
      <w:r>
        <w:rPr>
          <w:rFonts w:hint="eastAsia" w:ascii="Times New Roman" w:hAnsi="Times New Roman" w:eastAsia="仿宋_GB2312"/>
          <w:color w:val="auto"/>
          <w:sz w:val="32"/>
          <w:szCs w:val="32"/>
          <w:shd w:val="clear" w:color="auto" w:fill="auto"/>
        </w:rPr>
        <w:t>等分值的组成，详见《</w:t>
      </w:r>
      <w:r>
        <w:rPr>
          <w:rFonts w:hint="eastAsia" w:ascii="Times New Roman" w:hAnsi="Times New Roman" w:eastAsia="仿宋_GB2312"/>
          <w:color w:val="auto"/>
          <w:sz w:val="32"/>
          <w:szCs w:val="32"/>
          <w:shd w:val="clear" w:color="auto" w:fill="auto"/>
          <w:lang w:val="en-US" w:eastAsia="zh-CN"/>
        </w:rPr>
        <w:t>周口市</w:t>
      </w:r>
      <w:r>
        <w:rPr>
          <w:rFonts w:hint="eastAsia" w:ascii="Times New Roman" w:hAnsi="Times New Roman" w:eastAsia="仿宋_GB2312"/>
          <w:color w:val="auto"/>
          <w:sz w:val="32"/>
          <w:szCs w:val="32"/>
          <w:shd w:val="clear" w:color="auto" w:fill="auto"/>
        </w:rPr>
        <w:t>建筑市场单位信用主体优良行为加分目录》、《</w:t>
      </w:r>
      <w:r>
        <w:rPr>
          <w:rFonts w:hint="eastAsia" w:ascii="Times New Roman" w:hAnsi="Times New Roman" w:eastAsia="仿宋_GB2312"/>
          <w:color w:val="auto"/>
          <w:sz w:val="32"/>
          <w:szCs w:val="32"/>
          <w:shd w:val="clear" w:color="auto" w:fill="auto"/>
          <w:lang w:val="en-US" w:eastAsia="zh-CN"/>
        </w:rPr>
        <w:t>周口市</w:t>
      </w:r>
      <w:r>
        <w:rPr>
          <w:rFonts w:hint="eastAsia" w:ascii="Times New Roman" w:hAnsi="Times New Roman" w:eastAsia="仿宋_GB2312"/>
          <w:color w:val="auto"/>
          <w:sz w:val="32"/>
          <w:szCs w:val="32"/>
          <w:shd w:val="clear" w:color="auto" w:fill="auto"/>
        </w:rPr>
        <w:t>建筑市场</w:t>
      </w:r>
      <w:r>
        <w:rPr>
          <w:rFonts w:hint="eastAsia" w:ascii="Times New Roman" w:hAnsi="Times New Roman" w:eastAsia="仿宋_GB2312"/>
          <w:color w:val="auto"/>
          <w:sz w:val="32"/>
          <w:szCs w:val="32"/>
          <w:shd w:val="clear" w:color="auto" w:fill="auto"/>
          <w:lang w:val="en-US" w:eastAsia="zh-CN"/>
        </w:rPr>
        <w:t>单位</w:t>
      </w:r>
      <w:r>
        <w:rPr>
          <w:rFonts w:hint="eastAsia" w:ascii="Times New Roman" w:hAnsi="Times New Roman" w:eastAsia="仿宋_GB2312"/>
          <w:color w:val="auto"/>
          <w:sz w:val="32"/>
          <w:szCs w:val="32"/>
          <w:shd w:val="clear" w:color="auto" w:fill="auto"/>
        </w:rPr>
        <w:t>信用主体不良行为减分目录》和《</w:t>
      </w:r>
      <w:r>
        <w:rPr>
          <w:rFonts w:hint="eastAsia" w:ascii="Times New Roman" w:hAnsi="Times New Roman" w:eastAsia="仿宋_GB2312"/>
          <w:color w:val="auto"/>
          <w:sz w:val="32"/>
          <w:szCs w:val="32"/>
          <w:shd w:val="clear" w:color="auto" w:fill="auto"/>
          <w:lang w:val="en-US" w:eastAsia="zh-CN"/>
        </w:rPr>
        <w:t>周口市</w:t>
      </w:r>
      <w:r>
        <w:rPr>
          <w:rFonts w:hint="eastAsia" w:ascii="Times New Roman" w:hAnsi="Times New Roman" w:eastAsia="仿宋_GB2312"/>
          <w:color w:val="auto"/>
          <w:sz w:val="32"/>
          <w:szCs w:val="32"/>
          <w:shd w:val="clear" w:color="auto" w:fill="auto"/>
        </w:rPr>
        <w:t>建筑市场信用主体</w:t>
      </w:r>
      <w:r>
        <w:rPr>
          <w:rFonts w:hint="eastAsia" w:ascii="Times New Roman" w:hAnsi="Times New Roman" w:eastAsia="仿宋_GB2312"/>
          <w:color w:val="auto"/>
          <w:sz w:val="32"/>
          <w:szCs w:val="32"/>
          <w:shd w:val="clear" w:color="auto" w:fill="auto"/>
          <w:lang w:val="en-US" w:eastAsia="zh-CN"/>
        </w:rPr>
        <w:t>工程业绩</w:t>
      </w:r>
      <w:r>
        <w:rPr>
          <w:rFonts w:hint="eastAsia" w:ascii="Times New Roman" w:hAnsi="Times New Roman" w:eastAsia="仿宋_GB2312"/>
          <w:color w:val="auto"/>
          <w:sz w:val="32"/>
          <w:szCs w:val="32"/>
          <w:shd w:val="clear" w:color="auto" w:fill="auto"/>
        </w:rPr>
        <w:t>加分目录》（附件</w:t>
      </w:r>
      <w:r>
        <w:rPr>
          <w:rFonts w:hint="eastAsia" w:ascii="CESI楷体-GB2312" w:hAnsi="CESI楷体-GB2312" w:eastAsia="CESI楷体-GB2312" w:cs="CESI楷体-GB2312"/>
          <w:color w:val="auto"/>
          <w:sz w:val="32"/>
          <w:szCs w:val="32"/>
          <w:shd w:val="clear" w:color="auto" w:fill="auto"/>
        </w:rPr>
        <w:t>1-</w:t>
      </w:r>
      <w:r>
        <w:rPr>
          <w:rFonts w:hint="eastAsia" w:ascii="CESI楷体-GB2312" w:hAnsi="CESI楷体-GB2312" w:eastAsia="CESI楷体-GB2312" w:cs="CESI楷体-GB2312"/>
          <w:color w:val="auto"/>
          <w:sz w:val="32"/>
          <w:szCs w:val="32"/>
          <w:shd w:val="clear" w:color="auto" w:fill="auto"/>
          <w:lang w:val="en-US" w:eastAsia="zh-CN"/>
        </w:rPr>
        <w:t>3</w:t>
      </w:r>
      <w:r>
        <w:rPr>
          <w:rFonts w:hint="eastAsia" w:ascii="Times New Roman" w:hAnsi="Times New Roman" w:eastAsia="仿宋_GB2312"/>
          <w:color w:val="auto"/>
          <w:sz w:val="32"/>
          <w:szCs w:val="32"/>
          <w:shd w:val="clear" w:color="auto" w:fill="auto"/>
        </w:rPr>
        <w:t>）。</w:t>
      </w:r>
    </w:p>
    <w:p>
      <w:pPr>
        <w:widowControl/>
        <w:numPr>
          <w:ilvl w:val="255"/>
          <w:numId w:val="0"/>
        </w:numPr>
        <w:shd w:val="clear"/>
        <w:ind w:firstLine="618" w:firstLineChars="200"/>
        <w:rPr>
          <w:rFonts w:hint="eastAsia" w:ascii="Times New Roman" w:hAnsi="Times New Roman" w:eastAsia="仿宋_GB2312"/>
          <w:color w:val="auto"/>
          <w:sz w:val="32"/>
          <w:szCs w:val="32"/>
          <w:shd w:val="clear" w:color="auto" w:fill="auto"/>
        </w:rPr>
      </w:pPr>
      <w:r>
        <w:rPr>
          <w:rFonts w:hint="eastAsia" w:ascii="黑体" w:hAnsi="黑体" w:eastAsia="黑体" w:cs="黑体"/>
          <w:color w:val="auto"/>
          <w:sz w:val="32"/>
          <w:szCs w:val="32"/>
          <w:shd w:val="clear" w:color="auto" w:fill="auto"/>
        </w:rPr>
        <w:t>第</w:t>
      </w:r>
      <w:r>
        <w:rPr>
          <w:rFonts w:hint="eastAsia" w:ascii="黑体" w:hAnsi="黑体" w:eastAsia="黑体" w:cs="黑体"/>
          <w:color w:val="auto"/>
          <w:sz w:val="32"/>
          <w:szCs w:val="32"/>
          <w:shd w:val="clear" w:color="auto" w:fill="auto"/>
          <w:lang w:val="en-US" w:eastAsia="zh-CN"/>
        </w:rPr>
        <w:t>九</w:t>
      </w:r>
      <w:r>
        <w:rPr>
          <w:rFonts w:hint="eastAsia" w:ascii="黑体" w:hAnsi="黑体" w:eastAsia="黑体" w:cs="黑体"/>
          <w:color w:val="auto"/>
          <w:sz w:val="32"/>
          <w:szCs w:val="32"/>
          <w:shd w:val="clear" w:color="auto" w:fill="auto"/>
        </w:rPr>
        <w:t>条</w:t>
      </w:r>
      <w:r>
        <w:rPr>
          <w:rFonts w:hint="eastAsia" w:ascii="Times New Roman" w:hAnsi="Times New Roman" w:eastAsia="仿宋_GB2312"/>
          <w:color w:val="auto"/>
          <w:sz w:val="32"/>
          <w:szCs w:val="32"/>
          <w:shd w:val="clear" w:color="auto" w:fill="auto"/>
        </w:rPr>
        <w:t xml:space="preserve"> </w:t>
      </w:r>
      <w:r>
        <w:rPr>
          <w:rFonts w:hint="eastAsia" w:ascii="Times New Roman" w:hAnsi="Times New Roman" w:eastAsia="仿宋_GB2312"/>
          <w:color w:val="auto"/>
          <w:sz w:val="32"/>
          <w:szCs w:val="32"/>
          <w:shd w:val="clear" w:color="auto" w:fill="auto"/>
          <w:lang w:val="en-US" w:eastAsia="zh-CN"/>
        </w:rPr>
        <w:t>工程业绩</w:t>
      </w:r>
      <w:r>
        <w:rPr>
          <w:rFonts w:hint="eastAsia" w:ascii="Times New Roman" w:hAnsi="Times New Roman" w:eastAsia="仿宋_GB2312"/>
          <w:color w:val="auto"/>
          <w:sz w:val="32"/>
          <w:szCs w:val="32"/>
          <w:shd w:val="clear" w:color="auto" w:fill="auto"/>
        </w:rPr>
        <w:t>分值计分周期为一年。</w:t>
      </w:r>
      <w:r>
        <w:rPr>
          <w:rFonts w:hint="eastAsia" w:ascii="Times New Roman" w:hAnsi="Times New Roman" w:eastAsia="仿宋_GB2312"/>
          <w:color w:val="auto"/>
          <w:sz w:val="32"/>
          <w:szCs w:val="32"/>
          <w:shd w:val="clear" w:color="auto" w:fill="auto"/>
          <w:lang w:val="en-US" w:eastAsia="zh-CN"/>
        </w:rPr>
        <w:t>工程业绩</w:t>
      </w:r>
      <w:r>
        <w:rPr>
          <w:rFonts w:hint="eastAsia" w:ascii="Times New Roman" w:hAnsi="Times New Roman" w:eastAsia="仿宋_GB2312"/>
          <w:color w:val="auto"/>
          <w:sz w:val="32"/>
          <w:szCs w:val="32"/>
          <w:shd w:val="clear" w:color="auto" w:fill="auto"/>
        </w:rPr>
        <w:t>数据以统计</w:t>
      </w:r>
      <w:r>
        <w:rPr>
          <w:rFonts w:hint="eastAsia" w:ascii="Times New Roman" w:hAnsi="Times New Roman" w:eastAsia="仿宋_GB2312"/>
          <w:color w:val="auto"/>
          <w:sz w:val="32"/>
          <w:szCs w:val="32"/>
          <w:shd w:val="clear" w:color="auto" w:fill="auto"/>
          <w:lang w:eastAsia="zh-CN"/>
        </w:rPr>
        <w:t>部门</w:t>
      </w:r>
      <w:r>
        <w:rPr>
          <w:rFonts w:hint="eastAsia" w:ascii="Times New Roman" w:hAnsi="Times New Roman" w:eastAsia="仿宋_GB2312"/>
          <w:color w:val="auto"/>
          <w:sz w:val="32"/>
          <w:szCs w:val="32"/>
          <w:shd w:val="clear" w:color="auto" w:fill="auto"/>
        </w:rPr>
        <w:t>数据为准。</w:t>
      </w:r>
    </w:p>
    <w:p>
      <w:pPr>
        <w:widowControl/>
        <w:shd w:val="clear"/>
        <w:ind w:firstLine="618" w:firstLineChars="200"/>
        <w:jc w:val="left"/>
        <w:rPr>
          <w:rFonts w:ascii="Times New Roman" w:hAnsi="Times New Roman" w:eastAsia="仿宋_GB2312"/>
          <w:color w:val="auto"/>
          <w:sz w:val="32"/>
          <w:szCs w:val="32"/>
          <w:shd w:val="clear" w:color="auto" w:fill="auto"/>
        </w:rPr>
      </w:pPr>
      <w:r>
        <w:rPr>
          <w:rFonts w:hint="eastAsia" w:ascii="黑体" w:hAnsi="黑体" w:eastAsia="黑体" w:cs="黑体"/>
          <w:color w:val="auto"/>
          <w:sz w:val="32"/>
          <w:szCs w:val="32"/>
          <w:shd w:val="clear" w:color="auto" w:fill="auto"/>
        </w:rPr>
        <w:t>第十条</w:t>
      </w:r>
      <w:r>
        <w:rPr>
          <w:rFonts w:hint="eastAsia" w:ascii="Times New Roman" w:hAnsi="Times New Roman" w:eastAsia="仿宋_GB2312"/>
          <w:color w:val="auto"/>
          <w:sz w:val="32"/>
          <w:szCs w:val="32"/>
          <w:shd w:val="clear" w:color="auto" w:fill="auto"/>
        </w:rPr>
        <w:t xml:space="preserve"> </w:t>
      </w:r>
      <w:r>
        <w:rPr>
          <w:rFonts w:hint="eastAsia" w:ascii="仿宋" w:hAnsi="仿宋" w:eastAsia="仿宋" w:cs="仿宋"/>
          <w:color w:val="auto"/>
          <w:sz w:val="32"/>
          <w:szCs w:val="32"/>
          <w:shd w:val="clear" w:color="auto" w:fill="auto"/>
        </w:rPr>
        <w:t>信用分值实行动态计分。</w:t>
      </w:r>
      <w:r>
        <w:rPr>
          <w:rFonts w:hint="eastAsia" w:ascii="Times New Roman" w:hAnsi="Times New Roman" w:eastAsia="仿宋_GB2312"/>
          <w:color w:val="auto"/>
          <w:sz w:val="32"/>
          <w:szCs w:val="32"/>
          <w:shd w:val="clear" w:color="auto" w:fill="auto"/>
        </w:rPr>
        <w:t>以信用主体首次录入相关数据开始即刻产生，并随信用信息的变化而变化。</w:t>
      </w:r>
    </w:p>
    <w:p>
      <w:pPr>
        <w:shd w:val="clear"/>
        <w:ind w:firstLine="618" w:firstLineChars="200"/>
        <w:rPr>
          <w:rFonts w:hint="eastAsia" w:ascii="CESI仿宋-GB2312" w:hAnsi="CESI仿宋-GB2312" w:eastAsia="CESI仿宋-GB2312" w:cs="CESI仿宋-GB2312"/>
          <w:color w:val="auto"/>
          <w:sz w:val="32"/>
          <w:szCs w:val="32"/>
          <w:shd w:val="clear" w:color="auto" w:fill="auto"/>
        </w:rPr>
      </w:pPr>
      <w:r>
        <w:rPr>
          <w:rFonts w:hint="eastAsia" w:ascii="黑体" w:hAnsi="黑体" w:eastAsia="黑体" w:cs="黑体"/>
          <w:color w:val="auto"/>
          <w:sz w:val="32"/>
          <w:szCs w:val="32"/>
          <w:shd w:val="clear" w:color="auto" w:fill="auto"/>
        </w:rPr>
        <w:t>第十</w:t>
      </w:r>
      <w:r>
        <w:rPr>
          <w:rFonts w:hint="eastAsia" w:ascii="黑体" w:hAnsi="黑体" w:eastAsia="黑体" w:cs="黑体"/>
          <w:color w:val="auto"/>
          <w:sz w:val="32"/>
          <w:szCs w:val="32"/>
          <w:shd w:val="clear" w:color="auto" w:fill="auto"/>
          <w:lang w:val="en-US" w:eastAsia="zh-CN"/>
        </w:rPr>
        <w:t>一</w:t>
      </w:r>
      <w:r>
        <w:rPr>
          <w:rFonts w:hint="eastAsia" w:ascii="黑体" w:hAnsi="黑体" w:eastAsia="黑体" w:cs="黑体"/>
          <w:color w:val="auto"/>
          <w:sz w:val="32"/>
          <w:szCs w:val="32"/>
          <w:shd w:val="clear" w:color="auto" w:fill="auto"/>
        </w:rPr>
        <w:t>条</w:t>
      </w:r>
      <w:r>
        <w:rPr>
          <w:rFonts w:hint="eastAsia" w:ascii="Times New Roman" w:hAnsi="Times New Roman" w:eastAsia="仿宋_GB2312"/>
          <w:color w:val="auto"/>
          <w:sz w:val="32"/>
          <w:szCs w:val="32"/>
          <w:shd w:val="clear" w:color="auto" w:fill="auto"/>
        </w:rPr>
        <w:t xml:space="preserve"> 信用分值计分周期期满的，加（扣）分清零。信用分值最</w:t>
      </w:r>
      <w:r>
        <w:rPr>
          <w:rFonts w:hint="eastAsia" w:ascii="CESI仿宋-GB2312" w:hAnsi="CESI仿宋-GB2312" w:eastAsia="CESI仿宋-GB2312" w:cs="CESI仿宋-GB2312"/>
          <w:color w:val="auto"/>
          <w:sz w:val="32"/>
          <w:szCs w:val="32"/>
          <w:shd w:val="clear" w:color="auto" w:fill="auto"/>
        </w:rPr>
        <w:t>低为0分。分值小于0分的按0分计。</w:t>
      </w:r>
    </w:p>
    <w:p>
      <w:pPr>
        <w:keepNext w:val="0"/>
        <w:keepLines w:val="0"/>
        <w:widowControl/>
        <w:suppressLineNumbers w:val="0"/>
        <w:shd w:val="clear"/>
        <w:ind w:firstLine="618" w:firstLineChars="200"/>
        <w:jc w:val="left"/>
        <w:rPr>
          <w:shd w:val="clear" w:color="auto" w:fill="auto"/>
        </w:rPr>
      </w:pPr>
      <w:r>
        <w:rPr>
          <w:rFonts w:hint="eastAsia" w:ascii="黑体" w:hAnsi="黑体" w:eastAsia="黑体" w:cs="黑体"/>
          <w:color w:val="auto"/>
          <w:sz w:val="32"/>
          <w:szCs w:val="32"/>
          <w:shd w:val="clear" w:color="auto" w:fill="auto"/>
        </w:rPr>
        <w:t>第十</w:t>
      </w:r>
      <w:r>
        <w:rPr>
          <w:rFonts w:hint="eastAsia" w:ascii="黑体" w:hAnsi="黑体" w:eastAsia="黑体" w:cs="黑体"/>
          <w:color w:val="auto"/>
          <w:sz w:val="32"/>
          <w:szCs w:val="32"/>
          <w:shd w:val="clear" w:color="auto" w:fill="auto"/>
          <w:lang w:val="en-US" w:eastAsia="zh-CN"/>
        </w:rPr>
        <w:t>二</w:t>
      </w:r>
      <w:r>
        <w:rPr>
          <w:rFonts w:hint="eastAsia" w:ascii="黑体" w:hAnsi="黑体" w:eastAsia="黑体" w:cs="黑体"/>
          <w:color w:val="auto"/>
          <w:sz w:val="32"/>
          <w:szCs w:val="32"/>
          <w:shd w:val="clear" w:color="auto" w:fill="auto"/>
        </w:rPr>
        <w:t>条</w:t>
      </w:r>
      <w:r>
        <w:rPr>
          <w:rFonts w:hint="eastAsia" w:ascii="Times New Roman" w:hAnsi="Times New Roman" w:eastAsia="仿宋_GB2312"/>
          <w:color w:val="auto"/>
          <w:sz w:val="32"/>
          <w:szCs w:val="32"/>
          <w:shd w:val="clear" w:color="auto" w:fill="auto"/>
        </w:rPr>
        <w:t xml:space="preserve"> </w:t>
      </w:r>
      <w:r>
        <w:rPr>
          <w:rFonts w:hint="eastAsia" w:ascii="仿宋_GB2312" w:hAnsi="仿宋_GB2312" w:eastAsia="仿宋_GB2312" w:cs="仿宋_GB2312"/>
          <w:color w:val="000000"/>
          <w:kern w:val="0"/>
          <w:sz w:val="31"/>
          <w:szCs w:val="31"/>
          <w:shd w:val="clear" w:color="auto" w:fill="auto"/>
          <w:lang w:val="en-US" w:eastAsia="zh-CN" w:bidi="ar"/>
        </w:rPr>
        <w:t>信用评级</w:t>
      </w:r>
      <w:r>
        <w:rPr>
          <w:rFonts w:ascii="仿宋_GB2312" w:hAnsi="仿宋_GB2312" w:eastAsia="仿宋_GB2312" w:cs="仿宋_GB2312"/>
          <w:color w:val="000000"/>
          <w:kern w:val="0"/>
          <w:sz w:val="31"/>
          <w:szCs w:val="31"/>
          <w:shd w:val="clear" w:color="auto" w:fill="auto"/>
          <w:lang w:val="en-US" w:eastAsia="zh-CN" w:bidi="ar"/>
        </w:rPr>
        <w:t>设置为优秀、良好、合格、较差、差五个等级。评价等级按信用分值降</w:t>
      </w:r>
      <w:r>
        <w:rPr>
          <w:rFonts w:hint="eastAsia" w:ascii="CESI仿宋-GB2312" w:hAnsi="CESI仿宋-GB2312" w:eastAsia="CESI仿宋-GB2312" w:cs="CESI仿宋-GB2312"/>
          <w:color w:val="000000"/>
          <w:kern w:val="0"/>
          <w:sz w:val="31"/>
          <w:szCs w:val="31"/>
          <w:shd w:val="clear" w:color="auto" w:fill="auto"/>
          <w:lang w:val="en-US" w:eastAsia="zh-CN" w:bidi="ar"/>
        </w:rPr>
        <w:t>序排序，且以 60 分为</w:t>
      </w:r>
      <w:r>
        <w:rPr>
          <w:rFonts w:ascii="仿宋_GB2312" w:hAnsi="仿宋_GB2312" w:eastAsia="仿宋_GB2312" w:cs="仿宋_GB2312"/>
          <w:color w:val="000000"/>
          <w:kern w:val="0"/>
          <w:sz w:val="31"/>
          <w:szCs w:val="31"/>
          <w:shd w:val="clear" w:color="auto" w:fill="auto"/>
          <w:lang w:val="en-US" w:eastAsia="zh-CN" w:bidi="ar"/>
        </w:rPr>
        <w:t xml:space="preserve">界进行划分。 </w:t>
      </w:r>
    </w:p>
    <w:p>
      <w:pPr>
        <w:keepNext w:val="0"/>
        <w:keepLines w:val="0"/>
        <w:widowControl/>
        <w:suppressLineNumbers w:val="0"/>
        <w:shd w:val="clear"/>
        <w:ind w:firstLine="598" w:firstLineChars="200"/>
        <w:jc w:val="left"/>
        <w:rPr>
          <w:shd w:val="clear" w:color="auto" w:fill="auto"/>
        </w:rPr>
      </w:pPr>
      <w:r>
        <w:rPr>
          <w:rFonts w:ascii="楷体" w:hAnsi="楷体" w:eastAsia="楷体" w:cs="楷体"/>
          <w:color w:val="000000"/>
          <w:kern w:val="0"/>
          <w:sz w:val="31"/>
          <w:szCs w:val="31"/>
          <w:shd w:val="clear" w:color="auto" w:fill="auto"/>
          <w:lang w:val="en-US" w:eastAsia="zh-CN" w:bidi="ar"/>
        </w:rPr>
        <w:t xml:space="preserve">（一）信用分值在 </w:t>
      </w:r>
      <w:r>
        <w:rPr>
          <w:rFonts w:hint="eastAsia" w:ascii="CESI仿宋-GB2312" w:hAnsi="CESI仿宋-GB2312" w:eastAsia="CESI仿宋-GB2312" w:cs="CESI仿宋-GB2312"/>
          <w:color w:val="000000"/>
          <w:kern w:val="0"/>
          <w:sz w:val="31"/>
          <w:szCs w:val="31"/>
          <w:shd w:val="clear" w:color="auto" w:fill="auto"/>
          <w:lang w:val="en-US" w:eastAsia="zh-CN" w:bidi="ar"/>
        </w:rPr>
        <w:t>60</w:t>
      </w:r>
      <w:r>
        <w:rPr>
          <w:rFonts w:hint="default" w:ascii="Times New Roman" w:hAnsi="Times New Roman" w:eastAsia="宋体" w:cs="Times New Roman"/>
          <w:color w:val="000000"/>
          <w:kern w:val="0"/>
          <w:sz w:val="31"/>
          <w:szCs w:val="31"/>
          <w:shd w:val="clear" w:color="auto" w:fill="auto"/>
          <w:lang w:val="en-US" w:eastAsia="zh-CN" w:bidi="ar"/>
        </w:rPr>
        <w:t xml:space="preserve"> </w:t>
      </w:r>
      <w:r>
        <w:rPr>
          <w:rFonts w:hint="eastAsia" w:ascii="楷体" w:hAnsi="楷体" w:eastAsia="楷体" w:cs="楷体"/>
          <w:color w:val="000000"/>
          <w:kern w:val="0"/>
          <w:sz w:val="31"/>
          <w:szCs w:val="31"/>
          <w:shd w:val="clear" w:color="auto" w:fill="auto"/>
          <w:lang w:val="en-US" w:eastAsia="zh-CN" w:bidi="ar"/>
        </w:rPr>
        <w:t xml:space="preserve">分（含）以上划分为： </w:t>
      </w:r>
    </w:p>
    <w:p>
      <w:pPr>
        <w:keepNext w:val="0"/>
        <w:keepLines w:val="0"/>
        <w:widowControl/>
        <w:suppressLineNumbers w:val="0"/>
        <w:shd w:val="clear"/>
        <w:ind w:firstLine="598" w:firstLineChars="200"/>
        <w:jc w:val="left"/>
        <w:rPr>
          <w:shd w:val="clear" w:color="auto" w:fill="auto"/>
        </w:rPr>
      </w:pPr>
      <w:r>
        <w:rPr>
          <w:rFonts w:hint="default" w:ascii="Times New Roman" w:hAnsi="Times New Roman" w:eastAsia="宋体" w:cs="Times New Roman"/>
          <w:color w:val="000000"/>
          <w:kern w:val="0"/>
          <w:sz w:val="31"/>
          <w:szCs w:val="31"/>
          <w:shd w:val="clear" w:color="auto" w:fill="auto"/>
          <w:lang w:val="en-US" w:eastAsia="zh-CN" w:bidi="ar"/>
        </w:rPr>
        <w:t>1.</w:t>
      </w:r>
      <w:r>
        <w:rPr>
          <w:rFonts w:ascii="仿宋_GB2312" w:hAnsi="仿宋_GB2312" w:eastAsia="仿宋_GB2312" w:cs="仿宋_GB2312"/>
          <w:color w:val="000000"/>
          <w:kern w:val="0"/>
          <w:sz w:val="31"/>
          <w:szCs w:val="31"/>
          <w:shd w:val="clear" w:color="auto" w:fill="auto"/>
          <w:lang w:val="en-US" w:eastAsia="zh-CN" w:bidi="ar"/>
        </w:rPr>
        <w:t xml:space="preserve">优秀：信用分值在排名前 </w:t>
      </w:r>
      <w:r>
        <w:rPr>
          <w:rFonts w:hint="eastAsia" w:ascii="CESI仿宋-GB2312" w:hAnsi="CESI仿宋-GB2312" w:eastAsia="CESI仿宋-GB2312" w:cs="CESI仿宋-GB2312"/>
          <w:color w:val="000000"/>
          <w:kern w:val="0"/>
          <w:sz w:val="31"/>
          <w:szCs w:val="31"/>
          <w:shd w:val="clear" w:color="auto" w:fill="auto"/>
          <w:lang w:val="en-US" w:eastAsia="zh-CN" w:bidi="ar"/>
        </w:rPr>
        <w:t>10%</w:t>
      </w:r>
      <w:r>
        <w:rPr>
          <w:rFonts w:ascii="仿宋_GB2312" w:hAnsi="仿宋_GB2312" w:eastAsia="仿宋_GB2312" w:cs="仿宋_GB2312"/>
          <w:color w:val="000000"/>
          <w:kern w:val="0"/>
          <w:sz w:val="31"/>
          <w:szCs w:val="31"/>
          <w:shd w:val="clear" w:color="auto" w:fill="auto"/>
          <w:lang w:val="en-US" w:eastAsia="zh-CN" w:bidi="ar"/>
        </w:rPr>
        <w:t xml:space="preserve">（含）的； </w:t>
      </w:r>
    </w:p>
    <w:p>
      <w:pPr>
        <w:keepNext w:val="0"/>
        <w:keepLines w:val="0"/>
        <w:widowControl/>
        <w:suppressLineNumbers w:val="0"/>
        <w:shd w:val="clear"/>
        <w:ind w:firstLine="598" w:firstLineChars="200"/>
        <w:jc w:val="left"/>
        <w:rPr>
          <w:shd w:val="clear" w:color="auto" w:fill="auto"/>
        </w:rPr>
      </w:pPr>
      <w:r>
        <w:rPr>
          <w:rFonts w:hint="default" w:ascii="Times New Roman" w:hAnsi="Times New Roman" w:eastAsia="宋体" w:cs="Times New Roman"/>
          <w:color w:val="000000"/>
          <w:kern w:val="0"/>
          <w:sz w:val="31"/>
          <w:szCs w:val="31"/>
          <w:shd w:val="clear" w:color="auto" w:fill="auto"/>
          <w:lang w:val="en-US" w:eastAsia="zh-CN" w:bidi="ar"/>
        </w:rPr>
        <w:t>2.</w:t>
      </w:r>
      <w:r>
        <w:rPr>
          <w:rFonts w:ascii="仿宋_GB2312" w:hAnsi="仿宋_GB2312" w:eastAsia="仿宋_GB2312" w:cs="仿宋_GB2312"/>
          <w:color w:val="000000"/>
          <w:kern w:val="0"/>
          <w:sz w:val="31"/>
          <w:szCs w:val="31"/>
          <w:shd w:val="clear" w:color="auto" w:fill="auto"/>
          <w:lang w:val="en-US" w:eastAsia="zh-CN" w:bidi="ar"/>
        </w:rPr>
        <w:t xml:space="preserve">良好：信用分值在排名前 </w:t>
      </w:r>
      <w:r>
        <w:rPr>
          <w:rFonts w:hint="eastAsia" w:ascii="CESI仿宋-GB2312" w:hAnsi="CESI仿宋-GB2312" w:eastAsia="CESI仿宋-GB2312" w:cs="CESI仿宋-GB2312"/>
          <w:color w:val="000000"/>
          <w:kern w:val="0"/>
          <w:sz w:val="31"/>
          <w:szCs w:val="31"/>
          <w:shd w:val="clear" w:color="auto" w:fill="auto"/>
          <w:lang w:val="en-US" w:eastAsia="zh-CN" w:bidi="ar"/>
        </w:rPr>
        <w:t>10%</w:t>
      </w:r>
      <w:r>
        <w:rPr>
          <w:rFonts w:ascii="仿宋_GB2312" w:hAnsi="仿宋_GB2312" w:eastAsia="仿宋_GB2312" w:cs="仿宋_GB2312"/>
          <w:color w:val="000000"/>
          <w:kern w:val="0"/>
          <w:sz w:val="31"/>
          <w:szCs w:val="31"/>
          <w:shd w:val="clear" w:color="auto" w:fill="auto"/>
          <w:lang w:val="en-US" w:eastAsia="zh-CN" w:bidi="ar"/>
        </w:rPr>
        <w:t>（不含）</w:t>
      </w:r>
      <w:r>
        <w:rPr>
          <w:rFonts w:hint="eastAsia" w:ascii="CESI仿宋-GB2312" w:hAnsi="CESI仿宋-GB2312" w:eastAsia="CESI仿宋-GB2312" w:cs="CESI仿宋-GB2312"/>
          <w:color w:val="000000"/>
          <w:kern w:val="0"/>
          <w:sz w:val="31"/>
          <w:szCs w:val="31"/>
          <w:shd w:val="clear" w:color="auto" w:fill="auto"/>
          <w:lang w:val="en-US" w:eastAsia="zh-CN" w:bidi="ar"/>
        </w:rPr>
        <w:t>-30%</w:t>
      </w:r>
      <w:r>
        <w:rPr>
          <w:rFonts w:ascii="仿宋_GB2312" w:hAnsi="仿宋_GB2312" w:eastAsia="仿宋_GB2312" w:cs="仿宋_GB2312"/>
          <w:color w:val="000000"/>
          <w:kern w:val="0"/>
          <w:sz w:val="31"/>
          <w:szCs w:val="31"/>
          <w:shd w:val="clear" w:color="auto" w:fill="auto"/>
          <w:lang w:val="en-US" w:eastAsia="zh-CN" w:bidi="ar"/>
        </w:rPr>
        <w:t xml:space="preserve">（含）的； </w:t>
      </w:r>
    </w:p>
    <w:p>
      <w:pPr>
        <w:keepNext w:val="0"/>
        <w:keepLines w:val="0"/>
        <w:widowControl/>
        <w:suppressLineNumbers w:val="0"/>
        <w:shd w:val="clear"/>
        <w:ind w:firstLine="598" w:firstLineChars="200"/>
        <w:jc w:val="left"/>
        <w:rPr>
          <w:shd w:val="clear" w:color="auto" w:fill="auto"/>
        </w:rPr>
      </w:pPr>
      <w:r>
        <w:rPr>
          <w:rFonts w:hint="default" w:ascii="Times New Roman" w:hAnsi="Times New Roman" w:eastAsia="宋体" w:cs="Times New Roman"/>
          <w:color w:val="000000"/>
          <w:kern w:val="0"/>
          <w:sz w:val="31"/>
          <w:szCs w:val="31"/>
          <w:shd w:val="clear" w:color="auto" w:fill="auto"/>
          <w:lang w:val="en-US" w:eastAsia="zh-CN" w:bidi="ar"/>
        </w:rPr>
        <w:t>3.</w:t>
      </w:r>
      <w:r>
        <w:rPr>
          <w:rFonts w:ascii="仿宋_GB2312" w:hAnsi="仿宋_GB2312" w:eastAsia="仿宋_GB2312" w:cs="仿宋_GB2312"/>
          <w:color w:val="000000"/>
          <w:kern w:val="0"/>
          <w:sz w:val="31"/>
          <w:szCs w:val="31"/>
          <w:shd w:val="clear" w:color="auto" w:fill="auto"/>
          <w:lang w:val="en-US" w:eastAsia="zh-CN" w:bidi="ar"/>
        </w:rPr>
        <w:t>合格：信用分值在排名前</w:t>
      </w:r>
      <w:r>
        <w:rPr>
          <w:rFonts w:hint="eastAsia" w:ascii="CESI仿宋-GB2312" w:hAnsi="CESI仿宋-GB2312" w:eastAsia="CESI仿宋-GB2312" w:cs="CESI仿宋-GB2312"/>
          <w:color w:val="000000"/>
          <w:kern w:val="0"/>
          <w:sz w:val="31"/>
          <w:szCs w:val="31"/>
          <w:shd w:val="clear" w:color="auto" w:fill="auto"/>
          <w:lang w:val="en-US" w:eastAsia="zh-CN" w:bidi="ar"/>
        </w:rPr>
        <w:t xml:space="preserve"> 30%</w:t>
      </w:r>
      <w:r>
        <w:rPr>
          <w:rFonts w:ascii="仿宋_GB2312" w:hAnsi="仿宋_GB2312" w:eastAsia="仿宋_GB2312" w:cs="仿宋_GB2312"/>
          <w:color w:val="000000"/>
          <w:kern w:val="0"/>
          <w:sz w:val="31"/>
          <w:szCs w:val="31"/>
          <w:shd w:val="clear" w:color="auto" w:fill="auto"/>
          <w:lang w:val="en-US" w:eastAsia="zh-CN" w:bidi="ar"/>
        </w:rPr>
        <w:t>（不含）</w:t>
      </w:r>
      <w:r>
        <w:rPr>
          <w:rFonts w:hint="eastAsia" w:ascii="CESI仿宋-GB2312" w:hAnsi="CESI仿宋-GB2312" w:eastAsia="CESI仿宋-GB2312" w:cs="CESI仿宋-GB2312"/>
          <w:color w:val="000000"/>
          <w:kern w:val="0"/>
          <w:sz w:val="31"/>
          <w:szCs w:val="31"/>
          <w:shd w:val="clear" w:color="auto" w:fill="auto"/>
          <w:lang w:val="en-US" w:eastAsia="zh-CN" w:bidi="ar"/>
        </w:rPr>
        <w:t>-100%</w:t>
      </w:r>
      <w:r>
        <w:rPr>
          <w:rFonts w:ascii="仿宋_GB2312" w:hAnsi="仿宋_GB2312" w:eastAsia="仿宋_GB2312" w:cs="仿宋_GB2312"/>
          <w:color w:val="000000"/>
          <w:kern w:val="0"/>
          <w:sz w:val="31"/>
          <w:szCs w:val="31"/>
          <w:shd w:val="clear" w:color="auto" w:fill="auto"/>
          <w:lang w:val="en-US" w:eastAsia="zh-CN" w:bidi="ar"/>
        </w:rPr>
        <w:t xml:space="preserve">（含）的。 </w:t>
      </w:r>
    </w:p>
    <w:p>
      <w:pPr>
        <w:keepNext w:val="0"/>
        <w:keepLines w:val="0"/>
        <w:widowControl/>
        <w:suppressLineNumbers w:val="0"/>
        <w:shd w:val="clear"/>
        <w:ind w:firstLine="598" w:firstLineChars="200"/>
        <w:jc w:val="left"/>
        <w:rPr>
          <w:shd w:val="clear" w:color="auto" w:fill="auto"/>
        </w:rPr>
      </w:pPr>
      <w:r>
        <w:rPr>
          <w:rFonts w:hint="eastAsia" w:ascii="楷体" w:hAnsi="楷体" w:eastAsia="楷体" w:cs="楷体"/>
          <w:color w:val="000000"/>
          <w:kern w:val="0"/>
          <w:sz w:val="31"/>
          <w:szCs w:val="31"/>
          <w:shd w:val="clear" w:color="auto" w:fill="auto"/>
          <w:lang w:val="en-US" w:eastAsia="zh-CN" w:bidi="ar"/>
        </w:rPr>
        <w:t xml:space="preserve">（二）信用分值在 </w:t>
      </w:r>
      <w:r>
        <w:rPr>
          <w:rFonts w:hint="eastAsia" w:ascii="CESI仿宋-GB2312" w:hAnsi="CESI仿宋-GB2312" w:eastAsia="CESI仿宋-GB2312" w:cs="CESI仿宋-GB2312"/>
          <w:color w:val="000000"/>
          <w:kern w:val="0"/>
          <w:sz w:val="31"/>
          <w:szCs w:val="31"/>
          <w:shd w:val="clear" w:color="auto" w:fill="auto"/>
          <w:lang w:val="en-US" w:eastAsia="zh-CN" w:bidi="ar"/>
        </w:rPr>
        <w:t>60</w:t>
      </w:r>
      <w:r>
        <w:rPr>
          <w:rFonts w:hint="default" w:ascii="Times New Roman" w:hAnsi="Times New Roman" w:eastAsia="宋体" w:cs="Times New Roman"/>
          <w:color w:val="000000"/>
          <w:kern w:val="0"/>
          <w:sz w:val="31"/>
          <w:szCs w:val="31"/>
          <w:shd w:val="clear" w:color="auto" w:fill="auto"/>
          <w:lang w:val="en-US" w:eastAsia="zh-CN" w:bidi="ar"/>
        </w:rPr>
        <w:t xml:space="preserve"> </w:t>
      </w:r>
      <w:r>
        <w:rPr>
          <w:rFonts w:hint="eastAsia" w:ascii="楷体" w:hAnsi="楷体" w:eastAsia="楷体" w:cs="楷体"/>
          <w:color w:val="000000"/>
          <w:kern w:val="0"/>
          <w:sz w:val="31"/>
          <w:szCs w:val="31"/>
          <w:shd w:val="clear" w:color="auto" w:fill="auto"/>
          <w:lang w:val="en-US" w:eastAsia="zh-CN" w:bidi="ar"/>
        </w:rPr>
        <w:t xml:space="preserve">分（不含）以下划分为： </w:t>
      </w:r>
    </w:p>
    <w:p>
      <w:pPr>
        <w:keepNext w:val="0"/>
        <w:keepLines w:val="0"/>
        <w:widowControl/>
        <w:suppressLineNumbers w:val="0"/>
        <w:shd w:val="clear"/>
        <w:ind w:firstLine="598" w:firstLineChars="200"/>
        <w:jc w:val="left"/>
        <w:rPr>
          <w:shd w:val="clear" w:color="auto" w:fill="auto"/>
        </w:rPr>
      </w:pPr>
      <w:r>
        <w:rPr>
          <w:rFonts w:hint="default" w:ascii="Times New Roman" w:hAnsi="Times New Roman" w:eastAsia="宋体" w:cs="Times New Roman"/>
          <w:color w:val="000000"/>
          <w:kern w:val="0"/>
          <w:sz w:val="31"/>
          <w:szCs w:val="31"/>
          <w:shd w:val="clear" w:color="auto" w:fill="auto"/>
          <w:lang w:val="en-US" w:eastAsia="zh-CN" w:bidi="ar"/>
        </w:rPr>
        <w:t>1.</w:t>
      </w:r>
      <w:r>
        <w:rPr>
          <w:rFonts w:ascii="仿宋_GB2312" w:hAnsi="仿宋_GB2312" w:eastAsia="仿宋_GB2312" w:cs="仿宋_GB2312"/>
          <w:color w:val="000000"/>
          <w:kern w:val="0"/>
          <w:sz w:val="31"/>
          <w:szCs w:val="31"/>
          <w:shd w:val="clear" w:color="auto" w:fill="auto"/>
          <w:lang w:val="en-US" w:eastAsia="zh-CN" w:bidi="ar"/>
        </w:rPr>
        <w:t xml:space="preserve">较差：信用分值在排名前 </w:t>
      </w:r>
      <w:r>
        <w:rPr>
          <w:rFonts w:hint="eastAsia" w:ascii="CESI仿宋-GB2312" w:hAnsi="CESI仿宋-GB2312" w:eastAsia="CESI仿宋-GB2312" w:cs="CESI仿宋-GB2312"/>
          <w:color w:val="000000"/>
          <w:kern w:val="0"/>
          <w:sz w:val="31"/>
          <w:szCs w:val="31"/>
          <w:shd w:val="clear" w:color="auto" w:fill="auto"/>
          <w:lang w:val="en-US" w:eastAsia="zh-CN" w:bidi="ar"/>
        </w:rPr>
        <w:t>50%</w:t>
      </w:r>
      <w:r>
        <w:rPr>
          <w:rFonts w:ascii="仿宋_GB2312" w:hAnsi="仿宋_GB2312" w:eastAsia="仿宋_GB2312" w:cs="仿宋_GB2312"/>
          <w:color w:val="000000"/>
          <w:kern w:val="0"/>
          <w:sz w:val="31"/>
          <w:szCs w:val="31"/>
          <w:shd w:val="clear" w:color="auto" w:fill="auto"/>
          <w:lang w:val="en-US" w:eastAsia="zh-CN" w:bidi="ar"/>
        </w:rPr>
        <w:t xml:space="preserve">（不含）的； </w:t>
      </w:r>
    </w:p>
    <w:p>
      <w:pPr>
        <w:keepNext w:val="0"/>
        <w:keepLines w:val="0"/>
        <w:widowControl/>
        <w:suppressLineNumbers w:val="0"/>
        <w:shd w:val="clear"/>
        <w:ind w:firstLine="598" w:firstLineChars="200"/>
        <w:jc w:val="left"/>
        <w:rPr>
          <w:shd w:val="clear" w:color="auto" w:fill="auto"/>
        </w:rPr>
      </w:pPr>
      <w:r>
        <w:rPr>
          <w:rFonts w:hint="default" w:ascii="Times New Roman" w:hAnsi="Times New Roman" w:eastAsia="宋体" w:cs="Times New Roman"/>
          <w:color w:val="000000"/>
          <w:kern w:val="0"/>
          <w:sz w:val="31"/>
          <w:szCs w:val="31"/>
          <w:shd w:val="clear" w:color="auto" w:fill="auto"/>
          <w:lang w:val="en-US" w:eastAsia="zh-CN" w:bidi="ar"/>
        </w:rPr>
        <w:t>2.</w:t>
      </w:r>
      <w:r>
        <w:rPr>
          <w:rFonts w:ascii="仿宋_GB2312" w:hAnsi="仿宋_GB2312" w:eastAsia="仿宋_GB2312" w:cs="仿宋_GB2312"/>
          <w:color w:val="000000"/>
          <w:kern w:val="0"/>
          <w:sz w:val="31"/>
          <w:szCs w:val="31"/>
          <w:shd w:val="clear" w:color="auto" w:fill="auto"/>
          <w:lang w:val="en-US" w:eastAsia="zh-CN" w:bidi="ar"/>
        </w:rPr>
        <w:t>差：信用分值在排名后</w:t>
      </w:r>
      <w:r>
        <w:rPr>
          <w:rFonts w:hint="eastAsia" w:ascii="CESI仿宋-GB2312" w:hAnsi="CESI仿宋-GB2312" w:eastAsia="CESI仿宋-GB2312" w:cs="CESI仿宋-GB2312"/>
          <w:color w:val="000000"/>
          <w:kern w:val="0"/>
          <w:sz w:val="31"/>
          <w:szCs w:val="31"/>
          <w:shd w:val="clear" w:color="auto" w:fill="auto"/>
          <w:lang w:val="en-US" w:eastAsia="zh-CN" w:bidi="ar"/>
        </w:rPr>
        <w:t xml:space="preserve"> 50%</w:t>
      </w:r>
      <w:r>
        <w:rPr>
          <w:rFonts w:ascii="仿宋_GB2312" w:hAnsi="仿宋_GB2312" w:eastAsia="仿宋_GB2312" w:cs="仿宋_GB2312"/>
          <w:color w:val="000000"/>
          <w:kern w:val="0"/>
          <w:sz w:val="31"/>
          <w:szCs w:val="31"/>
          <w:shd w:val="clear" w:color="auto" w:fill="auto"/>
          <w:lang w:val="en-US" w:eastAsia="zh-CN" w:bidi="ar"/>
        </w:rPr>
        <w:t xml:space="preserve">（含）的。 </w:t>
      </w:r>
    </w:p>
    <w:p>
      <w:pPr>
        <w:keepNext w:val="0"/>
        <w:keepLines w:val="0"/>
        <w:widowControl/>
        <w:suppressLineNumbers w:val="0"/>
        <w:shd w:val="clear"/>
        <w:ind w:firstLine="598" w:firstLineChars="200"/>
        <w:jc w:val="left"/>
        <w:rPr>
          <w:shd w:val="clear" w:color="auto" w:fill="auto"/>
        </w:rPr>
      </w:pPr>
      <w:r>
        <w:rPr>
          <w:rFonts w:hint="eastAsia" w:ascii="楷体" w:hAnsi="楷体" w:eastAsia="楷体" w:cs="楷体"/>
          <w:color w:val="000000"/>
          <w:kern w:val="0"/>
          <w:sz w:val="31"/>
          <w:szCs w:val="31"/>
          <w:shd w:val="clear" w:color="auto" w:fill="auto"/>
          <w:lang w:val="en-US" w:eastAsia="zh-CN" w:bidi="ar"/>
        </w:rPr>
        <w:t>（三）评价等级的归并：信用分值相同的均归并为相同等级。</w:t>
      </w:r>
    </w:p>
    <w:p>
      <w:pPr>
        <w:numPr>
          <w:ilvl w:val="255"/>
          <w:numId w:val="0"/>
        </w:numPr>
        <w:shd w:val="clear"/>
        <w:ind w:firstLine="618" w:firstLineChars="200"/>
        <w:rPr>
          <w:rFonts w:hint="eastAsia" w:ascii="Times New Roman" w:hAnsi="Times New Roman" w:eastAsia="仿宋_GB2312"/>
          <w:color w:val="auto"/>
          <w:sz w:val="32"/>
          <w:szCs w:val="32"/>
          <w:shd w:val="clear" w:color="auto" w:fill="auto"/>
          <w:lang w:eastAsia="zh-CN"/>
        </w:rPr>
      </w:pPr>
      <w:r>
        <w:rPr>
          <w:rFonts w:hint="eastAsia" w:ascii="黑体" w:hAnsi="黑体" w:eastAsia="黑体" w:cs="黑体"/>
          <w:color w:val="auto"/>
          <w:sz w:val="32"/>
          <w:szCs w:val="32"/>
          <w:shd w:val="clear" w:color="auto" w:fill="auto"/>
        </w:rPr>
        <w:t>第十</w:t>
      </w:r>
      <w:r>
        <w:rPr>
          <w:rFonts w:hint="eastAsia" w:ascii="黑体" w:hAnsi="黑体" w:eastAsia="黑体" w:cs="黑体"/>
          <w:color w:val="auto"/>
          <w:sz w:val="32"/>
          <w:szCs w:val="32"/>
          <w:shd w:val="clear" w:color="auto" w:fill="auto"/>
          <w:lang w:val="en-US" w:eastAsia="zh-CN"/>
        </w:rPr>
        <w:t>三</w:t>
      </w:r>
      <w:r>
        <w:rPr>
          <w:rFonts w:hint="eastAsia" w:ascii="黑体" w:hAnsi="黑体" w:eastAsia="黑体" w:cs="黑体"/>
          <w:color w:val="auto"/>
          <w:sz w:val="32"/>
          <w:szCs w:val="32"/>
          <w:shd w:val="clear" w:color="auto" w:fill="auto"/>
        </w:rPr>
        <w:t>条</w:t>
      </w:r>
      <w:r>
        <w:rPr>
          <w:rFonts w:hint="eastAsia" w:ascii="黑体" w:hAnsi="黑体" w:eastAsia="黑体" w:cs="黑体"/>
          <w:color w:val="auto"/>
          <w:sz w:val="32"/>
          <w:szCs w:val="32"/>
          <w:shd w:val="clear" w:color="auto" w:fill="auto"/>
          <w:lang w:val="en-US" w:eastAsia="zh-CN"/>
        </w:rPr>
        <w:t xml:space="preserve"> </w:t>
      </w:r>
      <w:r>
        <w:rPr>
          <w:rFonts w:hint="eastAsia" w:ascii="Times New Roman" w:hAnsi="Times New Roman" w:eastAsia="仿宋_GB2312"/>
          <w:color w:val="auto"/>
          <w:sz w:val="32"/>
          <w:szCs w:val="32"/>
          <w:shd w:val="clear" w:color="auto" w:fill="auto"/>
          <w:lang w:val="en-US" w:eastAsia="zh-CN"/>
        </w:rPr>
        <w:t>外地进周</w:t>
      </w:r>
      <w:r>
        <w:rPr>
          <w:rFonts w:hint="eastAsia" w:ascii="Times New Roman" w:hAnsi="Times New Roman" w:eastAsia="仿宋_GB2312"/>
          <w:color w:val="auto"/>
          <w:sz w:val="32"/>
          <w:szCs w:val="32"/>
          <w:shd w:val="clear" w:color="auto" w:fill="auto"/>
          <w:lang w:eastAsia="zh-CN"/>
        </w:rPr>
        <w:t>企业生产经营数据采集范围为我</w:t>
      </w:r>
      <w:r>
        <w:rPr>
          <w:rFonts w:hint="eastAsia" w:ascii="Times New Roman" w:hAnsi="Times New Roman" w:eastAsia="仿宋_GB2312"/>
          <w:color w:val="auto"/>
          <w:sz w:val="32"/>
          <w:szCs w:val="32"/>
          <w:shd w:val="clear" w:color="auto" w:fill="auto"/>
          <w:lang w:val="en-US" w:eastAsia="zh-CN"/>
        </w:rPr>
        <w:t>市</w:t>
      </w:r>
      <w:r>
        <w:rPr>
          <w:rFonts w:hint="eastAsia" w:ascii="Times New Roman" w:hAnsi="Times New Roman" w:eastAsia="仿宋_GB2312"/>
          <w:color w:val="auto"/>
          <w:sz w:val="32"/>
          <w:szCs w:val="32"/>
          <w:shd w:val="clear" w:color="auto" w:fill="auto"/>
          <w:lang w:eastAsia="zh-CN"/>
        </w:rPr>
        <w:t>行政区域。营业收入、</w:t>
      </w:r>
      <w:r>
        <w:rPr>
          <w:rFonts w:hint="eastAsia" w:ascii="Times New Roman" w:hAnsi="Times New Roman" w:eastAsia="仿宋_GB2312"/>
          <w:color w:val="auto"/>
          <w:sz w:val="32"/>
          <w:szCs w:val="32"/>
          <w:shd w:val="clear" w:color="auto" w:fill="auto"/>
          <w:lang w:val="en-US" w:eastAsia="zh-CN"/>
        </w:rPr>
        <w:t>建筑业</w:t>
      </w:r>
      <w:r>
        <w:rPr>
          <w:rFonts w:hint="eastAsia" w:ascii="Times New Roman" w:hAnsi="Times New Roman" w:eastAsia="仿宋_GB2312"/>
          <w:color w:val="auto"/>
          <w:sz w:val="32"/>
          <w:szCs w:val="32"/>
          <w:shd w:val="clear" w:color="auto" w:fill="auto"/>
          <w:lang w:eastAsia="zh-CN"/>
        </w:rPr>
        <w:t>产值数据由其自行填报，并对数据真实性负责。</w:t>
      </w:r>
      <w:r>
        <w:rPr>
          <w:rFonts w:hint="eastAsia" w:ascii="Times New Roman" w:hAnsi="Times New Roman" w:eastAsia="仿宋_GB2312"/>
          <w:color w:val="auto"/>
          <w:sz w:val="32"/>
          <w:szCs w:val="32"/>
          <w:shd w:val="clear" w:color="auto" w:fill="auto"/>
        </w:rPr>
        <w:t>税务</w:t>
      </w:r>
      <w:r>
        <w:rPr>
          <w:rFonts w:hint="eastAsia" w:ascii="Times New Roman" w:hAnsi="Times New Roman" w:eastAsia="仿宋_GB2312"/>
          <w:color w:val="auto"/>
          <w:sz w:val="32"/>
          <w:szCs w:val="32"/>
          <w:shd w:val="clear" w:color="auto" w:fill="auto"/>
          <w:lang w:eastAsia="zh-CN"/>
        </w:rPr>
        <w:t>数据以我</w:t>
      </w:r>
      <w:r>
        <w:rPr>
          <w:rFonts w:hint="eastAsia" w:ascii="Times New Roman" w:hAnsi="Times New Roman" w:eastAsia="仿宋_GB2312"/>
          <w:color w:val="auto"/>
          <w:sz w:val="32"/>
          <w:szCs w:val="32"/>
          <w:shd w:val="clear" w:color="auto" w:fill="auto"/>
          <w:lang w:val="en-US" w:eastAsia="zh-CN"/>
        </w:rPr>
        <w:t>市</w:t>
      </w:r>
      <w:r>
        <w:rPr>
          <w:rFonts w:hint="eastAsia" w:ascii="Times New Roman" w:hAnsi="Times New Roman" w:eastAsia="仿宋_GB2312"/>
          <w:color w:val="auto"/>
          <w:sz w:val="32"/>
          <w:szCs w:val="32"/>
          <w:shd w:val="clear" w:color="auto" w:fill="auto"/>
          <w:lang w:eastAsia="zh-CN"/>
        </w:rPr>
        <w:t>税务部门提供数据为准。</w:t>
      </w:r>
    </w:p>
    <w:p>
      <w:pPr>
        <w:numPr>
          <w:ilvl w:val="255"/>
          <w:numId w:val="0"/>
        </w:numPr>
        <w:shd w:val="clear"/>
        <w:ind w:firstLine="618" w:firstLineChars="200"/>
        <w:rPr>
          <w:rFonts w:hint="eastAsia" w:ascii="Times New Roman" w:hAnsi="Times New Roman" w:eastAsia="仿宋_GB2312"/>
          <w:color w:val="auto"/>
          <w:sz w:val="32"/>
          <w:szCs w:val="32"/>
          <w:shd w:val="clear" w:color="auto" w:fill="auto"/>
        </w:rPr>
      </w:pPr>
      <w:r>
        <w:rPr>
          <w:rFonts w:hint="eastAsia" w:ascii="Times New Roman" w:hAnsi="Times New Roman" w:eastAsia="仿宋_GB2312"/>
          <w:color w:val="auto"/>
          <w:sz w:val="32"/>
          <w:szCs w:val="32"/>
          <w:shd w:val="clear" w:color="auto" w:fill="auto"/>
        </w:rPr>
        <w:t>首次进</w:t>
      </w:r>
      <w:r>
        <w:rPr>
          <w:rFonts w:hint="eastAsia" w:ascii="Times New Roman" w:hAnsi="Times New Roman" w:eastAsia="仿宋_GB2312"/>
          <w:color w:val="auto"/>
          <w:sz w:val="32"/>
          <w:szCs w:val="32"/>
          <w:shd w:val="clear" w:color="auto" w:fill="auto"/>
          <w:lang w:val="en-US" w:eastAsia="zh-CN"/>
        </w:rPr>
        <w:t>周</w:t>
      </w:r>
      <w:r>
        <w:rPr>
          <w:rFonts w:hint="eastAsia" w:ascii="Times New Roman" w:hAnsi="Times New Roman" w:eastAsia="仿宋_GB2312"/>
          <w:color w:val="auto"/>
          <w:sz w:val="32"/>
          <w:szCs w:val="32"/>
          <w:shd w:val="clear" w:color="auto" w:fill="auto"/>
          <w:lang w:eastAsia="zh-CN"/>
        </w:rPr>
        <w:t>企业</w:t>
      </w:r>
      <w:r>
        <w:rPr>
          <w:rFonts w:hint="eastAsia" w:ascii="Times New Roman" w:hAnsi="Times New Roman" w:eastAsia="仿宋_GB2312"/>
          <w:color w:val="auto"/>
          <w:sz w:val="32"/>
          <w:szCs w:val="32"/>
          <w:shd w:val="clear" w:color="auto" w:fill="auto"/>
        </w:rPr>
        <w:t>，</w:t>
      </w:r>
      <w:r>
        <w:rPr>
          <w:rFonts w:hint="eastAsia" w:ascii="Times New Roman" w:hAnsi="Times New Roman" w:eastAsia="仿宋_GB2312"/>
          <w:color w:val="auto"/>
          <w:sz w:val="32"/>
          <w:szCs w:val="32"/>
          <w:shd w:val="clear" w:color="auto" w:fill="auto"/>
          <w:lang w:eastAsia="zh-CN"/>
        </w:rPr>
        <w:t>第一个评价周期</w:t>
      </w:r>
      <w:r>
        <w:rPr>
          <w:rFonts w:hint="eastAsia" w:ascii="Times New Roman" w:hAnsi="Times New Roman" w:eastAsia="仿宋_GB2312"/>
          <w:color w:val="auto"/>
          <w:sz w:val="32"/>
          <w:szCs w:val="32"/>
          <w:shd w:val="clear" w:color="auto" w:fill="auto"/>
        </w:rPr>
        <w:t>按照</w:t>
      </w:r>
      <w:r>
        <w:rPr>
          <w:rFonts w:hint="eastAsia" w:ascii="Times New Roman" w:hAnsi="Times New Roman" w:eastAsia="仿宋_GB2312"/>
          <w:color w:val="auto"/>
          <w:sz w:val="32"/>
          <w:szCs w:val="32"/>
          <w:shd w:val="clear" w:color="auto" w:fill="auto"/>
          <w:lang w:eastAsia="zh-CN"/>
        </w:rPr>
        <w:t>同类资质进</w:t>
      </w:r>
      <w:r>
        <w:rPr>
          <w:rFonts w:hint="eastAsia" w:ascii="Times New Roman" w:hAnsi="Times New Roman" w:eastAsia="仿宋_GB2312"/>
          <w:color w:val="auto"/>
          <w:sz w:val="32"/>
          <w:szCs w:val="32"/>
          <w:shd w:val="clear" w:color="auto" w:fill="auto"/>
          <w:lang w:val="en-US" w:eastAsia="zh-CN"/>
        </w:rPr>
        <w:t>周</w:t>
      </w:r>
      <w:r>
        <w:rPr>
          <w:rFonts w:hint="eastAsia" w:ascii="Times New Roman" w:hAnsi="Times New Roman" w:eastAsia="仿宋_GB2312"/>
          <w:color w:val="auto"/>
          <w:sz w:val="32"/>
          <w:szCs w:val="32"/>
          <w:shd w:val="clear" w:color="auto" w:fill="auto"/>
        </w:rPr>
        <w:t>信用主体的平均信用分值进行评价等级划分参与市场竞争。</w:t>
      </w:r>
      <w:r>
        <w:rPr>
          <w:rFonts w:hint="eastAsia" w:ascii="Times New Roman" w:hAnsi="Times New Roman" w:eastAsia="仿宋_GB2312"/>
          <w:color w:val="auto"/>
          <w:sz w:val="32"/>
          <w:szCs w:val="32"/>
          <w:shd w:val="clear" w:color="auto" w:fill="auto"/>
          <w:lang w:eastAsia="zh-CN"/>
        </w:rPr>
        <w:t>自第二个评价周期</w:t>
      </w:r>
      <w:r>
        <w:rPr>
          <w:rFonts w:hint="eastAsia" w:ascii="Times New Roman" w:hAnsi="Times New Roman" w:eastAsia="仿宋_GB2312"/>
          <w:color w:val="auto"/>
          <w:sz w:val="32"/>
          <w:szCs w:val="32"/>
          <w:shd w:val="clear" w:color="auto" w:fill="auto"/>
        </w:rPr>
        <w:t>按照本</w:t>
      </w:r>
      <w:r>
        <w:rPr>
          <w:rFonts w:hint="eastAsia" w:ascii="Times New Roman" w:hAnsi="Times New Roman" w:eastAsia="仿宋_GB2312"/>
          <w:color w:val="auto"/>
          <w:sz w:val="32"/>
          <w:szCs w:val="32"/>
          <w:shd w:val="clear" w:color="auto" w:fill="auto"/>
          <w:lang w:eastAsia="zh-CN"/>
        </w:rPr>
        <w:t>办法</w:t>
      </w:r>
      <w:r>
        <w:rPr>
          <w:rFonts w:hint="eastAsia" w:ascii="Times New Roman" w:hAnsi="Times New Roman" w:eastAsia="仿宋_GB2312"/>
          <w:color w:val="auto"/>
          <w:sz w:val="32"/>
          <w:szCs w:val="32"/>
          <w:shd w:val="clear" w:color="auto" w:fill="auto"/>
        </w:rPr>
        <w:t>进行信用评价。</w:t>
      </w:r>
    </w:p>
    <w:p>
      <w:pPr>
        <w:numPr>
          <w:ilvl w:val="255"/>
          <w:numId w:val="0"/>
        </w:numPr>
        <w:shd w:val="clear"/>
        <w:ind w:firstLine="618" w:firstLineChars="200"/>
        <w:rPr>
          <w:rFonts w:ascii="Times New Roman" w:hAnsi="Times New Roman" w:eastAsia="仿宋_GB2312"/>
          <w:color w:val="auto"/>
          <w:sz w:val="32"/>
          <w:szCs w:val="32"/>
          <w:shd w:val="clear" w:color="auto" w:fill="auto"/>
        </w:rPr>
      </w:pPr>
      <w:r>
        <w:rPr>
          <w:rFonts w:hint="eastAsia" w:ascii="黑体" w:hAnsi="黑体" w:eastAsia="黑体" w:cs="黑体"/>
          <w:color w:val="auto"/>
          <w:sz w:val="32"/>
          <w:szCs w:val="32"/>
          <w:shd w:val="clear" w:color="auto" w:fill="auto"/>
        </w:rPr>
        <w:t>第十</w:t>
      </w:r>
      <w:r>
        <w:rPr>
          <w:rFonts w:hint="eastAsia" w:ascii="黑体" w:hAnsi="黑体" w:eastAsia="黑体" w:cs="黑体"/>
          <w:color w:val="auto"/>
          <w:sz w:val="32"/>
          <w:szCs w:val="32"/>
          <w:shd w:val="clear" w:color="auto" w:fill="auto"/>
          <w:lang w:val="en-US" w:eastAsia="zh-CN"/>
        </w:rPr>
        <w:t>四</w:t>
      </w:r>
      <w:r>
        <w:rPr>
          <w:rFonts w:hint="eastAsia" w:ascii="黑体" w:hAnsi="黑体" w:eastAsia="黑体" w:cs="黑体"/>
          <w:color w:val="auto"/>
          <w:sz w:val="32"/>
          <w:szCs w:val="32"/>
          <w:shd w:val="clear" w:color="auto" w:fill="auto"/>
        </w:rPr>
        <w:t>条</w:t>
      </w:r>
      <w:r>
        <w:rPr>
          <w:rFonts w:hint="eastAsia" w:ascii="Times New Roman" w:hAnsi="Times New Roman" w:eastAsia="仿宋_GB2312"/>
          <w:color w:val="auto"/>
          <w:sz w:val="32"/>
          <w:szCs w:val="32"/>
          <w:shd w:val="clear" w:color="auto" w:fill="auto"/>
        </w:rPr>
        <w:t xml:space="preserve"> </w:t>
      </w:r>
      <w:r>
        <w:rPr>
          <w:rFonts w:hint="eastAsia" w:ascii="Times New Roman" w:hAnsi="Times New Roman" w:eastAsia="仿宋_GB2312"/>
          <w:color w:val="auto"/>
          <w:sz w:val="32"/>
          <w:szCs w:val="32"/>
          <w:shd w:val="clear" w:color="auto" w:fill="auto"/>
          <w:lang w:val="en-US" w:eastAsia="zh-CN"/>
        </w:rPr>
        <w:t>市场信用主体</w:t>
      </w:r>
      <w:r>
        <w:rPr>
          <w:rFonts w:hint="eastAsia" w:ascii="Times New Roman" w:hAnsi="Times New Roman" w:eastAsia="仿宋_GB2312"/>
          <w:color w:val="auto"/>
          <w:sz w:val="32"/>
          <w:szCs w:val="32"/>
          <w:shd w:val="clear" w:color="auto" w:fill="auto"/>
        </w:rPr>
        <w:t>信用评价</w:t>
      </w:r>
      <w:r>
        <w:rPr>
          <w:rFonts w:hint="eastAsia" w:ascii="Times New Roman" w:hAnsi="Times New Roman" w:eastAsia="仿宋_GB2312"/>
          <w:color w:val="auto"/>
          <w:sz w:val="32"/>
          <w:szCs w:val="32"/>
          <w:shd w:val="clear" w:color="auto" w:fill="auto"/>
          <w:lang w:val="en-US" w:eastAsia="zh-CN"/>
        </w:rPr>
        <w:t>采用计算机评价系统自动计算的评价方式。评价计算频率为每日更新一次，并在</w:t>
      </w:r>
      <w:r>
        <w:rPr>
          <w:rFonts w:hint="eastAsia" w:ascii="仿宋_GB2312" w:hAnsi="仿宋_GB2312" w:eastAsia="仿宋_GB2312" w:cs="仿宋_GB2312"/>
          <w:color w:val="auto"/>
          <w:sz w:val="32"/>
          <w:szCs w:val="32"/>
          <w:shd w:val="clear" w:color="auto" w:fill="auto"/>
          <w:lang w:val="en-US" w:eastAsia="zh-CN"/>
        </w:rPr>
        <w:t>周口市建设工程综合执法监管</w:t>
      </w:r>
      <w:r>
        <w:rPr>
          <w:rFonts w:hint="eastAsia" w:ascii="仿宋_GB2312" w:hAnsi="仿宋_GB2312" w:eastAsia="仿宋_GB2312" w:cs="仿宋_GB2312"/>
          <w:color w:val="auto"/>
          <w:sz w:val="32"/>
          <w:szCs w:val="32"/>
          <w:shd w:val="clear" w:color="auto" w:fill="auto"/>
        </w:rPr>
        <w:t>平台</w:t>
      </w:r>
      <w:r>
        <w:rPr>
          <w:rFonts w:hint="eastAsia" w:ascii="Times New Roman" w:hAnsi="Times New Roman" w:eastAsia="仿宋_GB2312"/>
          <w:color w:val="auto"/>
          <w:sz w:val="32"/>
          <w:szCs w:val="32"/>
          <w:shd w:val="clear" w:color="auto" w:fill="auto"/>
          <w:lang w:val="en-US" w:eastAsia="zh-CN"/>
        </w:rPr>
        <w:t>进行公布。</w:t>
      </w:r>
    </w:p>
    <w:p>
      <w:pPr>
        <w:keepNext w:val="0"/>
        <w:keepLines w:val="0"/>
        <w:widowControl/>
        <w:suppressLineNumbers w:val="0"/>
        <w:shd w:val="clear"/>
        <w:ind w:firstLine="618" w:firstLineChars="200"/>
        <w:jc w:val="left"/>
        <w:rPr>
          <w:shd w:val="clear" w:color="auto" w:fill="auto"/>
        </w:rPr>
      </w:pPr>
      <w:r>
        <w:rPr>
          <w:rFonts w:hint="eastAsia" w:ascii="黑体" w:hAnsi="黑体" w:eastAsia="黑体" w:cs="黑体"/>
          <w:color w:val="auto"/>
          <w:sz w:val="32"/>
          <w:szCs w:val="32"/>
          <w:shd w:val="clear" w:color="auto" w:fill="auto"/>
        </w:rPr>
        <w:t>第十</w:t>
      </w:r>
      <w:r>
        <w:rPr>
          <w:rFonts w:hint="eastAsia" w:ascii="黑体" w:hAnsi="黑体" w:eastAsia="黑体" w:cs="黑体"/>
          <w:color w:val="auto"/>
          <w:sz w:val="32"/>
          <w:szCs w:val="32"/>
          <w:shd w:val="clear" w:color="auto" w:fill="auto"/>
          <w:lang w:val="en-US" w:eastAsia="zh-CN"/>
        </w:rPr>
        <w:t>五</w:t>
      </w:r>
      <w:r>
        <w:rPr>
          <w:rFonts w:hint="eastAsia" w:ascii="黑体" w:hAnsi="黑体" w:eastAsia="黑体" w:cs="黑体"/>
          <w:color w:val="auto"/>
          <w:sz w:val="32"/>
          <w:szCs w:val="32"/>
          <w:shd w:val="clear" w:color="auto" w:fill="auto"/>
        </w:rPr>
        <w:t xml:space="preserve">条 </w:t>
      </w:r>
      <w:r>
        <w:rPr>
          <w:rFonts w:ascii="仿宋_GB2312" w:hAnsi="仿宋_GB2312" w:eastAsia="仿宋_GB2312" w:cs="仿宋_GB2312"/>
          <w:color w:val="000000"/>
          <w:kern w:val="0"/>
          <w:sz w:val="31"/>
          <w:szCs w:val="31"/>
          <w:shd w:val="clear" w:color="auto" w:fill="auto"/>
          <w:lang w:val="en-US" w:eastAsia="zh-CN" w:bidi="ar"/>
        </w:rPr>
        <w:t xml:space="preserve">信用评价结果使用时采用最近一次发布结果。 </w:t>
      </w:r>
    </w:p>
    <w:p>
      <w:pPr>
        <w:keepNext w:val="0"/>
        <w:keepLines w:val="0"/>
        <w:pageBreakBefore w:val="0"/>
        <w:widowControl/>
        <w:shd w:val="clear"/>
        <w:kinsoku/>
        <w:wordWrap/>
        <w:overflowPunct/>
        <w:topLinePunct w:val="0"/>
        <w:autoSpaceDE/>
        <w:autoSpaceDN/>
        <w:bidi w:val="0"/>
        <w:adjustRightInd/>
        <w:snapToGrid/>
        <w:spacing w:line="600" w:lineRule="exact"/>
        <w:ind w:right="-398" w:rightChars="-200" w:firstLine="618" w:firstLineChars="200"/>
        <w:jc w:val="both"/>
        <w:textAlignment w:val="auto"/>
        <w:rPr>
          <w:rFonts w:ascii="Times New Roman" w:hAnsi="Times New Roman" w:eastAsia="仿宋_GB2312"/>
          <w:color w:val="auto"/>
          <w:sz w:val="32"/>
          <w:szCs w:val="32"/>
          <w:shd w:val="clear" w:color="auto" w:fill="auto"/>
        </w:rPr>
      </w:pPr>
      <w:r>
        <w:rPr>
          <w:rFonts w:hint="eastAsia" w:ascii="Times New Roman" w:hAnsi="Times New Roman" w:eastAsia="仿宋_GB2312"/>
          <w:color w:val="auto"/>
          <w:sz w:val="32"/>
          <w:szCs w:val="32"/>
          <w:shd w:val="clear" w:color="auto" w:fill="auto"/>
        </w:rPr>
        <w:t>附件：</w:t>
      </w:r>
      <w:r>
        <w:rPr>
          <w:rFonts w:hint="eastAsia" w:ascii="CESI仿宋-GB2312" w:hAnsi="CESI仿宋-GB2312" w:eastAsia="CESI仿宋-GB2312" w:cs="CESI仿宋-GB2312"/>
          <w:color w:val="auto"/>
          <w:sz w:val="32"/>
          <w:szCs w:val="32"/>
          <w:shd w:val="clear" w:color="auto" w:fill="auto"/>
        </w:rPr>
        <w:t>1.</w:t>
      </w:r>
      <w:r>
        <w:rPr>
          <w:rFonts w:hint="eastAsia" w:ascii="CESI仿宋-GB2312" w:hAnsi="CESI仿宋-GB2312" w:eastAsia="CESI仿宋-GB2312" w:cs="CESI仿宋-GB2312"/>
          <w:color w:val="auto"/>
          <w:sz w:val="32"/>
          <w:szCs w:val="32"/>
          <w:shd w:val="clear" w:color="auto" w:fill="auto"/>
          <w:lang w:val="en-US" w:eastAsia="zh-CN"/>
        </w:rPr>
        <w:t>周</w:t>
      </w:r>
      <w:r>
        <w:rPr>
          <w:rFonts w:hint="eastAsia" w:ascii="Times New Roman" w:hAnsi="Times New Roman" w:eastAsia="仿宋_GB2312"/>
          <w:color w:val="auto"/>
          <w:sz w:val="32"/>
          <w:szCs w:val="32"/>
          <w:shd w:val="clear" w:color="auto" w:fill="auto"/>
          <w:lang w:val="en-US" w:eastAsia="zh-CN"/>
        </w:rPr>
        <w:t>口市</w:t>
      </w:r>
      <w:r>
        <w:rPr>
          <w:rFonts w:hint="eastAsia" w:ascii="Times New Roman" w:hAnsi="Times New Roman" w:eastAsia="仿宋_GB2312"/>
          <w:color w:val="auto"/>
          <w:sz w:val="32"/>
          <w:szCs w:val="32"/>
          <w:shd w:val="clear" w:color="auto" w:fill="auto"/>
        </w:rPr>
        <w:t>建筑市场单位信用主体优良行为加分目录；</w:t>
      </w:r>
    </w:p>
    <w:p>
      <w:pPr>
        <w:keepNext w:val="0"/>
        <w:keepLines w:val="0"/>
        <w:pageBreakBefore w:val="0"/>
        <w:widowControl/>
        <w:shd w:val="clear"/>
        <w:kinsoku/>
        <w:wordWrap/>
        <w:overflowPunct/>
        <w:topLinePunct w:val="0"/>
        <w:autoSpaceDE/>
        <w:autoSpaceDN/>
        <w:bidi w:val="0"/>
        <w:adjustRightInd/>
        <w:snapToGrid/>
        <w:spacing w:line="600" w:lineRule="exact"/>
        <w:ind w:right="-398" w:rightChars="-200" w:firstLine="1545" w:firstLineChars="500"/>
        <w:jc w:val="both"/>
        <w:textAlignment w:val="auto"/>
        <w:rPr>
          <w:rFonts w:ascii="Times New Roman" w:hAnsi="Times New Roman" w:eastAsia="仿宋_GB2312"/>
          <w:color w:val="auto"/>
          <w:sz w:val="32"/>
          <w:szCs w:val="32"/>
          <w:shd w:val="clear" w:color="auto" w:fill="auto"/>
        </w:rPr>
      </w:pPr>
      <w:r>
        <w:rPr>
          <w:rFonts w:hint="eastAsia" w:ascii="CESI仿宋-GB2312" w:hAnsi="CESI仿宋-GB2312" w:eastAsia="CESI仿宋-GB2312" w:cs="CESI仿宋-GB2312"/>
          <w:color w:val="auto"/>
          <w:sz w:val="32"/>
          <w:szCs w:val="32"/>
          <w:shd w:val="clear" w:color="auto" w:fill="auto"/>
        </w:rPr>
        <w:t>2.</w:t>
      </w:r>
      <w:r>
        <w:rPr>
          <w:rFonts w:hint="eastAsia" w:ascii="CESI仿宋-GB2312" w:hAnsi="CESI仿宋-GB2312" w:eastAsia="CESI仿宋-GB2312" w:cs="CESI仿宋-GB2312"/>
          <w:color w:val="auto"/>
          <w:sz w:val="32"/>
          <w:szCs w:val="32"/>
          <w:shd w:val="clear" w:color="auto" w:fill="auto"/>
          <w:lang w:val="en-US" w:eastAsia="zh-CN"/>
        </w:rPr>
        <w:t>周口</w:t>
      </w:r>
      <w:r>
        <w:rPr>
          <w:rFonts w:hint="eastAsia" w:ascii="Times New Roman" w:hAnsi="Times New Roman" w:eastAsia="仿宋_GB2312"/>
          <w:color w:val="auto"/>
          <w:sz w:val="32"/>
          <w:szCs w:val="32"/>
          <w:shd w:val="clear" w:color="auto" w:fill="auto"/>
          <w:lang w:val="en-US" w:eastAsia="zh-CN"/>
        </w:rPr>
        <w:t>市</w:t>
      </w:r>
      <w:r>
        <w:rPr>
          <w:rFonts w:hint="eastAsia" w:ascii="Times New Roman" w:hAnsi="Times New Roman" w:eastAsia="仿宋_GB2312"/>
          <w:color w:val="auto"/>
          <w:sz w:val="32"/>
          <w:szCs w:val="32"/>
          <w:shd w:val="clear" w:color="auto" w:fill="auto"/>
        </w:rPr>
        <w:t>建筑市场单位信用主体不良行为减分目录；</w:t>
      </w:r>
    </w:p>
    <w:p>
      <w:pPr>
        <w:keepNext w:val="0"/>
        <w:keepLines w:val="0"/>
        <w:pageBreakBefore w:val="0"/>
        <w:widowControl/>
        <w:shd w:val="clear"/>
        <w:kinsoku/>
        <w:wordWrap/>
        <w:overflowPunct/>
        <w:topLinePunct w:val="0"/>
        <w:autoSpaceDE/>
        <w:autoSpaceDN/>
        <w:bidi w:val="0"/>
        <w:adjustRightInd/>
        <w:snapToGrid/>
        <w:spacing w:line="600" w:lineRule="exact"/>
        <w:ind w:firstLine="618" w:firstLineChars="200"/>
        <w:jc w:val="both"/>
        <w:textAlignment w:val="auto"/>
        <w:rPr>
          <w:rFonts w:hint="eastAsia" w:ascii="仿宋" w:hAnsi="仿宋" w:eastAsia="仿宋_GB2312" w:cs="仿宋"/>
          <w:bCs/>
          <w:color w:val="auto"/>
          <w:kern w:val="0"/>
          <w:sz w:val="28"/>
          <w:szCs w:val="28"/>
          <w:shd w:val="clear" w:color="auto" w:fill="auto"/>
          <w:lang w:eastAsia="zh-CN"/>
        </w:rPr>
      </w:pPr>
      <w:r>
        <w:rPr>
          <w:rFonts w:hint="eastAsia" w:ascii="Times New Roman" w:hAnsi="Times New Roman" w:eastAsia="仿宋_GB2312"/>
          <w:color w:val="auto"/>
          <w:sz w:val="32"/>
          <w:szCs w:val="32"/>
          <w:shd w:val="clear" w:color="auto" w:fill="auto"/>
        </w:rPr>
        <w:t xml:space="preserve">  </w:t>
      </w:r>
      <w:r>
        <w:rPr>
          <w:rFonts w:hint="eastAsia" w:ascii="Times New Roman" w:hAnsi="Times New Roman" w:eastAsia="仿宋_GB2312"/>
          <w:color w:val="auto"/>
          <w:sz w:val="32"/>
          <w:szCs w:val="32"/>
          <w:shd w:val="clear" w:color="auto" w:fill="auto"/>
          <w:lang w:val="en-US" w:eastAsia="zh-CN"/>
        </w:rPr>
        <w:t xml:space="preserve">    </w:t>
      </w:r>
      <w:r>
        <w:rPr>
          <w:rFonts w:hint="eastAsia" w:ascii="CESI仿宋-GB2312" w:hAnsi="CESI仿宋-GB2312" w:eastAsia="CESI仿宋-GB2312" w:cs="CESI仿宋-GB2312"/>
          <w:color w:val="auto"/>
          <w:sz w:val="32"/>
          <w:szCs w:val="32"/>
          <w:shd w:val="clear" w:color="auto" w:fill="auto"/>
          <w:lang w:val="en-US" w:eastAsia="zh-CN"/>
        </w:rPr>
        <w:t>3</w:t>
      </w:r>
      <w:r>
        <w:rPr>
          <w:rFonts w:hint="eastAsia" w:ascii="CESI仿宋-GB2312" w:hAnsi="CESI仿宋-GB2312" w:eastAsia="CESI仿宋-GB2312" w:cs="CESI仿宋-GB2312"/>
          <w:color w:val="auto"/>
          <w:sz w:val="32"/>
          <w:szCs w:val="32"/>
          <w:shd w:val="clear" w:color="auto" w:fill="auto"/>
        </w:rPr>
        <w:t>.</w:t>
      </w:r>
      <w:r>
        <w:rPr>
          <w:rFonts w:hint="eastAsia" w:ascii="CESI仿宋-GB2312" w:hAnsi="CESI仿宋-GB2312" w:eastAsia="CESI仿宋-GB2312" w:cs="CESI仿宋-GB2312"/>
          <w:color w:val="auto"/>
          <w:sz w:val="32"/>
          <w:szCs w:val="32"/>
          <w:shd w:val="clear" w:color="auto" w:fill="auto"/>
          <w:lang w:val="en-US" w:eastAsia="zh-CN"/>
        </w:rPr>
        <w:t>周口</w:t>
      </w:r>
      <w:r>
        <w:rPr>
          <w:rFonts w:hint="eastAsia" w:ascii="Times New Roman" w:hAnsi="Times New Roman" w:eastAsia="仿宋_GB2312"/>
          <w:color w:val="auto"/>
          <w:sz w:val="32"/>
          <w:szCs w:val="32"/>
          <w:shd w:val="clear" w:color="auto" w:fill="auto"/>
          <w:lang w:val="en-US" w:eastAsia="zh-CN"/>
        </w:rPr>
        <w:t>市</w:t>
      </w:r>
      <w:r>
        <w:rPr>
          <w:rFonts w:hint="eastAsia" w:ascii="Times New Roman" w:hAnsi="Times New Roman" w:eastAsia="仿宋_GB2312"/>
          <w:color w:val="auto"/>
          <w:sz w:val="32"/>
          <w:szCs w:val="32"/>
          <w:shd w:val="clear" w:color="auto" w:fill="auto"/>
        </w:rPr>
        <w:t>建筑市场信用主体</w:t>
      </w:r>
      <w:r>
        <w:rPr>
          <w:rFonts w:hint="eastAsia" w:ascii="Times New Roman" w:hAnsi="Times New Roman" w:eastAsia="仿宋_GB2312"/>
          <w:color w:val="auto"/>
          <w:sz w:val="32"/>
          <w:szCs w:val="32"/>
          <w:shd w:val="clear" w:color="auto" w:fill="auto"/>
          <w:lang w:val="en-US" w:eastAsia="zh-CN"/>
        </w:rPr>
        <w:t>工程业绩</w:t>
      </w:r>
      <w:r>
        <w:rPr>
          <w:rFonts w:hint="eastAsia" w:ascii="Times New Roman" w:hAnsi="Times New Roman" w:eastAsia="仿宋_GB2312"/>
          <w:color w:val="auto"/>
          <w:sz w:val="32"/>
          <w:szCs w:val="32"/>
          <w:shd w:val="clear" w:color="auto" w:fill="auto"/>
        </w:rPr>
        <w:t>加分目录</w:t>
      </w:r>
      <w:r>
        <w:rPr>
          <w:rFonts w:hint="eastAsia" w:ascii="Times New Roman" w:hAnsi="Times New Roman" w:eastAsia="仿宋_GB2312"/>
          <w:color w:val="auto"/>
          <w:sz w:val="32"/>
          <w:szCs w:val="32"/>
          <w:shd w:val="clear" w:color="auto" w:fill="auto"/>
          <w:lang w:eastAsia="zh-CN"/>
        </w:rPr>
        <w:t>。</w:t>
      </w:r>
    </w:p>
    <w:p>
      <w:pPr>
        <w:keepNext w:val="0"/>
        <w:keepLines w:val="0"/>
        <w:pageBreakBefore w:val="0"/>
        <w:widowControl/>
        <w:shd w:val="clear"/>
        <w:kinsoku/>
        <w:wordWrap/>
        <w:overflowPunct/>
        <w:topLinePunct w:val="0"/>
        <w:autoSpaceDE/>
        <w:autoSpaceDN/>
        <w:bidi w:val="0"/>
        <w:adjustRightInd/>
        <w:snapToGrid/>
        <w:spacing w:line="600" w:lineRule="exact"/>
        <w:ind w:firstLine="660" w:firstLineChars="245"/>
        <w:jc w:val="both"/>
        <w:textAlignment w:val="auto"/>
        <w:rPr>
          <w:rFonts w:ascii="Times New Roman" w:hAnsi="Times New Roman" w:eastAsia="仿宋_GB2312"/>
          <w:color w:val="auto"/>
          <w:sz w:val="32"/>
          <w:szCs w:val="32"/>
          <w:shd w:val="clear" w:color="auto" w:fill="auto"/>
        </w:rPr>
      </w:pPr>
      <w:r>
        <w:rPr>
          <w:rFonts w:hint="eastAsia" w:ascii="仿宋" w:hAnsi="仿宋" w:eastAsia="仿宋" w:cs="仿宋"/>
          <w:bCs/>
          <w:color w:val="auto"/>
          <w:kern w:val="0"/>
          <w:sz w:val="28"/>
          <w:szCs w:val="28"/>
          <w:shd w:val="clear" w:color="auto" w:fill="auto"/>
        </w:rPr>
        <w:t xml:space="preserve"> </w:t>
      </w:r>
      <w:r>
        <w:rPr>
          <w:rFonts w:hint="eastAsia" w:ascii="Times New Roman" w:hAnsi="Times New Roman" w:eastAsia="仿宋_GB2312"/>
          <w:color w:val="auto"/>
          <w:sz w:val="32"/>
          <w:szCs w:val="32"/>
          <w:shd w:val="clear" w:color="auto" w:fill="auto"/>
        </w:rPr>
        <w:t xml:space="preserve">    </w:t>
      </w:r>
    </w:p>
    <w:p>
      <w:pPr>
        <w:keepNext w:val="0"/>
        <w:keepLines w:val="0"/>
        <w:pageBreakBefore w:val="0"/>
        <w:widowControl/>
        <w:shd w:val="clear"/>
        <w:kinsoku/>
        <w:wordWrap/>
        <w:overflowPunct/>
        <w:topLinePunct w:val="0"/>
        <w:autoSpaceDE/>
        <w:autoSpaceDN/>
        <w:bidi w:val="0"/>
        <w:adjustRightInd/>
        <w:snapToGrid/>
        <w:spacing w:line="600" w:lineRule="exact"/>
        <w:ind w:firstLine="618" w:firstLineChars="200"/>
        <w:jc w:val="left"/>
        <w:textAlignment w:val="auto"/>
        <w:rPr>
          <w:rFonts w:ascii="Times New Roman" w:hAnsi="Times New Roman" w:eastAsia="仿宋_GB2312"/>
          <w:color w:val="auto"/>
          <w:sz w:val="32"/>
          <w:szCs w:val="32"/>
          <w:shd w:val="clear" w:color="auto" w:fill="auto"/>
        </w:rPr>
      </w:pPr>
    </w:p>
    <w:p>
      <w:pPr>
        <w:widowControl/>
        <w:shd w:val="clear"/>
        <w:ind w:firstLine="618" w:firstLineChars="200"/>
        <w:jc w:val="left"/>
        <w:rPr>
          <w:rFonts w:ascii="Times New Roman" w:hAnsi="Times New Roman" w:eastAsia="仿宋_GB2312"/>
          <w:color w:val="auto"/>
          <w:sz w:val="32"/>
          <w:szCs w:val="32"/>
          <w:shd w:val="clear" w:color="auto" w:fill="auto"/>
        </w:rPr>
      </w:pPr>
    </w:p>
    <w:p>
      <w:pPr>
        <w:widowControl/>
        <w:shd w:val="clear"/>
        <w:ind w:firstLine="618" w:firstLineChars="200"/>
        <w:jc w:val="left"/>
        <w:rPr>
          <w:rFonts w:ascii="Times New Roman" w:hAnsi="Times New Roman" w:eastAsia="仿宋_GB2312"/>
          <w:color w:val="auto"/>
          <w:sz w:val="32"/>
          <w:szCs w:val="32"/>
          <w:shd w:val="clear" w:color="auto" w:fill="auto"/>
        </w:rPr>
      </w:pPr>
    </w:p>
    <w:p>
      <w:pPr>
        <w:widowControl/>
        <w:shd w:val="clear"/>
        <w:ind w:firstLine="618" w:firstLineChars="200"/>
        <w:jc w:val="left"/>
        <w:rPr>
          <w:rFonts w:ascii="Times New Roman" w:hAnsi="Times New Roman" w:eastAsia="仿宋_GB2312"/>
          <w:color w:val="auto"/>
          <w:sz w:val="32"/>
          <w:szCs w:val="32"/>
          <w:shd w:val="clear" w:color="auto" w:fill="auto"/>
        </w:rPr>
        <w:sectPr>
          <w:footerReference r:id="rId3" w:type="default"/>
          <w:pgSz w:w="11906" w:h="16838"/>
          <w:pgMar w:top="1440" w:right="1800" w:bottom="1440" w:left="1800" w:header="851" w:footer="1701" w:gutter="0"/>
          <w:pgBorders>
            <w:top w:val="none" w:sz="0" w:space="0"/>
            <w:left w:val="none" w:sz="0" w:space="0"/>
            <w:bottom w:val="none" w:sz="0" w:space="0"/>
            <w:right w:val="none" w:sz="0" w:space="0"/>
          </w:pgBorders>
          <w:pgNumType w:fmt="numberInDash"/>
          <w:cols w:space="720" w:num="1"/>
          <w:docGrid w:type="linesAndChars" w:linePitch="287" w:charSpace="-2374"/>
        </w:sectPr>
      </w:pPr>
    </w:p>
    <w:p>
      <w:pPr>
        <w:widowControl/>
        <w:shd w:val="clear"/>
        <w:spacing w:before="100" w:beforeAutospacing="1" w:after="100" w:afterAutospacing="1" w:line="340" w:lineRule="exact"/>
        <w:jc w:val="left"/>
        <w:rPr>
          <w:rFonts w:hint="eastAsia" w:ascii="方正小标宋简体" w:hAnsi="方正小标宋简体" w:eastAsia="方正小标宋简体" w:cs="方正小标宋简体"/>
          <w:bCs/>
          <w:color w:val="auto"/>
          <w:kern w:val="0"/>
          <w:sz w:val="28"/>
          <w:szCs w:val="28"/>
          <w:shd w:val="clear" w:color="auto" w:fill="auto"/>
        </w:rPr>
      </w:pPr>
      <w:r>
        <w:rPr>
          <w:rFonts w:hint="eastAsia" w:ascii="方正小标宋简体" w:hAnsi="方正小标宋简体" w:eastAsia="方正小标宋简体" w:cs="方正小标宋简体"/>
          <w:bCs/>
          <w:color w:val="auto"/>
          <w:kern w:val="0"/>
          <w:sz w:val="28"/>
          <w:szCs w:val="28"/>
          <w:shd w:val="clear" w:color="auto" w:fill="auto"/>
        </w:rPr>
        <w:t>附件1</w:t>
      </w:r>
    </w:p>
    <w:tbl>
      <w:tblPr>
        <w:tblStyle w:val="11"/>
        <w:tblW w:w="13366" w:type="dxa"/>
        <w:jc w:val="center"/>
        <w:tblLayout w:type="fixed"/>
        <w:tblCellMar>
          <w:top w:w="0" w:type="dxa"/>
          <w:left w:w="108" w:type="dxa"/>
          <w:bottom w:w="0" w:type="dxa"/>
          <w:right w:w="108" w:type="dxa"/>
        </w:tblCellMar>
      </w:tblPr>
      <w:tblGrid>
        <w:gridCol w:w="1643"/>
        <w:gridCol w:w="2918"/>
        <w:gridCol w:w="2220"/>
        <w:gridCol w:w="3472"/>
        <w:gridCol w:w="1065"/>
        <w:gridCol w:w="1973"/>
        <w:gridCol w:w="75"/>
      </w:tblGrid>
      <w:tr>
        <w:tblPrEx>
          <w:tblCellMar>
            <w:top w:w="0" w:type="dxa"/>
            <w:left w:w="108" w:type="dxa"/>
            <w:bottom w:w="0" w:type="dxa"/>
            <w:right w:w="108" w:type="dxa"/>
          </w:tblCellMar>
        </w:tblPrEx>
        <w:trPr>
          <w:trHeight w:val="460" w:hRule="atLeast"/>
          <w:jc w:val="center"/>
        </w:trPr>
        <w:tc>
          <w:tcPr>
            <w:tcW w:w="13366" w:type="dxa"/>
            <w:gridSpan w:val="7"/>
            <w:tcBorders>
              <w:top w:val="nil"/>
              <w:left w:val="nil"/>
              <w:bottom w:val="nil"/>
              <w:right w:val="nil"/>
              <w:tl2br w:val="nil"/>
              <w:tr2bl w:val="nil"/>
            </w:tcBorders>
          </w:tcPr>
          <w:p>
            <w:pPr>
              <w:shd w:val="clear"/>
              <w:jc w:val="center"/>
              <w:rPr>
                <w:rFonts w:ascii="宋体" w:hAnsi="宋体"/>
                <w:color w:val="auto"/>
                <w:sz w:val="36"/>
                <w:shd w:val="clear" w:color="auto" w:fill="auto"/>
              </w:rPr>
            </w:pPr>
            <w:r>
              <w:rPr>
                <w:rFonts w:hint="eastAsia" w:ascii="宋体" w:hAnsi="宋体"/>
                <w:b/>
                <w:bCs/>
                <w:color w:val="auto"/>
                <w:sz w:val="36"/>
                <w:shd w:val="clear" w:color="auto" w:fill="auto"/>
                <w:lang w:val="en-US" w:eastAsia="zh-CN"/>
              </w:rPr>
              <w:t>周口市</w:t>
            </w:r>
            <w:r>
              <w:rPr>
                <w:rFonts w:hint="eastAsia" w:ascii="宋体" w:hAnsi="宋体"/>
                <w:b/>
                <w:bCs/>
                <w:color w:val="auto"/>
                <w:sz w:val="36"/>
                <w:shd w:val="clear" w:color="auto" w:fill="auto"/>
              </w:rPr>
              <w:t>建筑市场单位信用主体优良行为（YL</w:t>
            </w:r>
            <w:r>
              <w:rPr>
                <w:rFonts w:hint="eastAsia" w:ascii="宋体" w:hAnsi="宋体"/>
                <w:b/>
                <w:bCs/>
                <w:color w:val="auto"/>
                <w:sz w:val="36"/>
                <w:shd w:val="clear" w:color="auto" w:fill="auto"/>
                <w:lang w:val="en-US" w:eastAsia="zh-CN"/>
              </w:rPr>
              <w:t>D</w:t>
            </w:r>
            <w:r>
              <w:rPr>
                <w:rFonts w:hint="eastAsia" w:ascii="宋体" w:hAnsi="宋体"/>
                <w:b/>
                <w:bCs/>
                <w:color w:val="auto"/>
                <w:sz w:val="36"/>
                <w:shd w:val="clear" w:color="auto" w:fill="auto"/>
              </w:rPr>
              <w:t>）加分目录</w:t>
            </w: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b/>
                <w:color w:val="auto"/>
                <w:sz w:val="22"/>
                <w:shd w:val="clear" w:color="auto" w:fill="auto"/>
              </w:rPr>
            </w:pPr>
            <w:r>
              <w:rPr>
                <w:rFonts w:hint="eastAsia" w:ascii="宋体" w:hAnsi="宋体"/>
                <w:b/>
                <w:color w:val="auto"/>
                <w:sz w:val="22"/>
                <w:shd w:val="clear" w:color="auto" w:fill="auto"/>
              </w:rPr>
              <w:t>编号</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b/>
                <w:color w:val="auto"/>
                <w:sz w:val="22"/>
                <w:shd w:val="clear" w:color="auto" w:fill="auto"/>
              </w:rPr>
            </w:pPr>
            <w:r>
              <w:rPr>
                <w:rFonts w:hint="eastAsia" w:ascii="宋体" w:hAnsi="宋体"/>
                <w:b/>
                <w:color w:val="auto"/>
                <w:sz w:val="22"/>
                <w:shd w:val="clear" w:color="auto" w:fill="auto"/>
              </w:rPr>
              <w:t>优良行为</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b/>
                <w:color w:val="auto"/>
                <w:sz w:val="22"/>
                <w:shd w:val="clear" w:color="auto" w:fill="auto"/>
              </w:rPr>
            </w:pPr>
            <w:r>
              <w:rPr>
                <w:rFonts w:hint="eastAsia" w:ascii="宋体" w:hAnsi="宋体"/>
                <w:b/>
                <w:color w:val="auto"/>
                <w:sz w:val="22"/>
                <w:shd w:val="clear" w:color="auto" w:fill="auto"/>
              </w:rPr>
              <w:t>颁发部门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b/>
                <w:color w:val="auto"/>
                <w:sz w:val="22"/>
                <w:shd w:val="clear" w:color="auto" w:fill="auto"/>
              </w:rPr>
            </w:pPr>
            <w:r>
              <w:rPr>
                <w:rFonts w:hint="eastAsia" w:ascii="宋体" w:hAnsi="宋体"/>
                <w:b/>
                <w:color w:val="auto"/>
                <w:sz w:val="22"/>
                <w:shd w:val="clear" w:color="auto" w:fill="auto"/>
              </w:rPr>
              <w:t>加分分值</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b/>
                <w:color w:val="auto"/>
                <w:sz w:val="22"/>
                <w:shd w:val="clear" w:color="auto" w:fill="auto"/>
              </w:rPr>
            </w:pPr>
            <w:r>
              <w:rPr>
                <w:rFonts w:hint="eastAsia" w:ascii="宋体" w:hAnsi="宋体"/>
                <w:b/>
                <w:color w:val="auto"/>
                <w:sz w:val="22"/>
                <w:shd w:val="clear" w:color="auto" w:fill="auto"/>
              </w:rPr>
              <w:t>计分周期（年）</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b/>
                <w:color w:val="auto"/>
                <w:sz w:val="22"/>
                <w:shd w:val="clear" w:color="auto" w:fill="auto"/>
              </w:rPr>
            </w:pPr>
            <w:r>
              <w:rPr>
                <w:rFonts w:hint="eastAsia" w:ascii="宋体" w:hAnsi="宋体"/>
                <w:b/>
                <w:color w:val="auto"/>
                <w:sz w:val="22"/>
                <w:shd w:val="clear" w:color="auto" w:fill="auto"/>
              </w:rPr>
              <w:t>备注</w:t>
            </w:r>
          </w:p>
        </w:tc>
      </w:tr>
      <w:tr>
        <w:tblPrEx>
          <w:tblCellMar>
            <w:top w:w="0" w:type="dxa"/>
            <w:left w:w="108" w:type="dxa"/>
            <w:bottom w:w="0" w:type="dxa"/>
            <w:right w:w="108" w:type="dxa"/>
          </w:tblCellMar>
        </w:tblPrEx>
        <w:trPr>
          <w:gridAfter w:val="1"/>
          <w:wAfter w:w="75" w:type="dxa"/>
          <w:trHeight w:val="9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-1-1/2/3/4</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县级以上人民政府通报表彰（扬）</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县级以上人民政府</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国家级10分，省级6分，市级4分，县级2分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-2-1/2/3/4</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县级以上住房城乡建设行政主管部门通报表彰（扬）</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县级以上住房城乡建设行政主管部门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部级</w:t>
            </w:r>
            <w:r>
              <w:rPr>
                <w:rFonts w:hint="eastAsia" w:ascii="宋体" w:hAnsi="宋体"/>
                <w:color w:val="auto"/>
                <w:sz w:val="21"/>
                <w:szCs w:val="21"/>
                <w:shd w:val="clear" w:color="auto" w:fill="auto"/>
                <w:lang w:val="en-US" w:eastAsia="zh-CN"/>
              </w:rPr>
              <w:t>6</w:t>
            </w:r>
            <w:r>
              <w:rPr>
                <w:rFonts w:hint="eastAsia" w:ascii="宋体" w:hAnsi="宋体"/>
                <w:color w:val="auto"/>
                <w:sz w:val="21"/>
                <w:szCs w:val="21"/>
                <w:shd w:val="clear" w:color="auto" w:fill="auto"/>
              </w:rPr>
              <w:t>分，省级</w:t>
            </w:r>
            <w:r>
              <w:rPr>
                <w:rFonts w:hint="eastAsia" w:ascii="宋体" w:hAnsi="宋体"/>
                <w:color w:val="auto"/>
                <w:sz w:val="21"/>
                <w:szCs w:val="21"/>
                <w:shd w:val="clear" w:color="auto" w:fill="auto"/>
                <w:lang w:val="en-US" w:eastAsia="zh-CN"/>
              </w:rPr>
              <w:t>6</w:t>
            </w:r>
            <w:r>
              <w:rPr>
                <w:rFonts w:hint="eastAsia" w:ascii="宋体" w:hAnsi="宋体"/>
                <w:color w:val="auto"/>
                <w:sz w:val="21"/>
                <w:szCs w:val="21"/>
                <w:shd w:val="clear" w:color="auto" w:fill="auto"/>
              </w:rPr>
              <w:t>分，市级</w:t>
            </w:r>
            <w:r>
              <w:rPr>
                <w:rFonts w:hint="eastAsia" w:ascii="宋体" w:hAnsi="宋体"/>
                <w:color w:val="auto"/>
                <w:sz w:val="21"/>
                <w:szCs w:val="21"/>
                <w:shd w:val="clear" w:color="auto" w:fill="auto"/>
                <w:lang w:val="en-US" w:eastAsia="zh-CN"/>
              </w:rPr>
              <w:t>4</w:t>
            </w:r>
            <w:r>
              <w:rPr>
                <w:rFonts w:hint="eastAsia" w:ascii="宋体" w:hAnsi="宋体"/>
                <w:color w:val="auto"/>
                <w:sz w:val="21"/>
                <w:szCs w:val="21"/>
                <w:shd w:val="clear" w:color="auto" w:fill="auto"/>
              </w:rPr>
              <w:t>分，县级</w:t>
            </w:r>
            <w:r>
              <w:rPr>
                <w:rFonts w:hint="eastAsia" w:ascii="宋体" w:hAnsi="宋体"/>
                <w:color w:val="auto"/>
                <w:sz w:val="21"/>
                <w:szCs w:val="21"/>
                <w:shd w:val="clear" w:color="auto" w:fill="auto"/>
                <w:lang w:val="en-US" w:eastAsia="zh-CN"/>
              </w:rPr>
              <w:t>1</w:t>
            </w:r>
            <w:r>
              <w:rPr>
                <w:rFonts w:hint="eastAsia" w:ascii="宋体" w:hAnsi="宋体"/>
                <w:color w:val="auto"/>
                <w:sz w:val="21"/>
                <w:szCs w:val="21"/>
                <w:shd w:val="clear" w:color="auto" w:fill="auto"/>
              </w:rPr>
              <w:t>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-3-1/2/3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县级以上</w:t>
            </w:r>
            <w:r>
              <w:rPr>
                <w:rFonts w:hint="eastAsia" w:ascii="宋体" w:hAnsi="宋体"/>
                <w:color w:val="auto"/>
                <w:sz w:val="21"/>
                <w:szCs w:val="21"/>
                <w:shd w:val="clear" w:color="auto" w:fill="auto"/>
                <w:lang w:val="en-US" w:eastAsia="zh-CN"/>
              </w:rPr>
              <w:t>行业协会</w:t>
            </w:r>
            <w:r>
              <w:rPr>
                <w:rFonts w:hint="eastAsia" w:ascii="宋体" w:hAnsi="宋体"/>
                <w:color w:val="auto"/>
                <w:sz w:val="21"/>
                <w:szCs w:val="21"/>
                <w:shd w:val="clear" w:color="auto" w:fill="auto"/>
              </w:rPr>
              <w:t>通报表彰（扬）</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市</w:t>
            </w:r>
            <w:r>
              <w:rPr>
                <w:rFonts w:hint="eastAsia" w:ascii="宋体" w:hAnsi="宋体"/>
                <w:color w:val="auto"/>
                <w:sz w:val="21"/>
                <w:szCs w:val="21"/>
                <w:shd w:val="clear" w:color="auto" w:fill="auto"/>
              </w:rPr>
              <w:t>级以上</w:t>
            </w:r>
            <w:r>
              <w:rPr>
                <w:rFonts w:hint="eastAsia" w:ascii="宋体" w:hAnsi="宋体"/>
                <w:color w:val="auto"/>
                <w:sz w:val="21"/>
                <w:szCs w:val="21"/>
                <w:shd w:val="clear" w:color="auto" w:fill="auto"/>
                <w:lang w:val="en-US" w:eastAsia="zh-CN"/>
              </w:rPr>
              <w:t>行业协会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国家</w:t>
            </w:r>
            <w:r>
              <w:rPr>
                <w:rFonts w:hint="eastAsia" w:ascii="宋体" w:hAnsi="宋体"/>
                <w:color w:val="auto"/>
                <w:sz w:val="21"/>
                <w:szCs w:val="21"/>
                <w:shd w:val="clear" w:color="auto" w:fill="auto"/>
              </w:rPr>
              <w:t>级</w:t>
            </w:r>
            <w:r>
              <w:rPr>
                <w:rFonts w:hint="eastAsia" w:ascii="宋体" w:hAnsi="宋体"/>
                <w:color w:val="auto"/>
                <w:sz w:val="21"/>
                <w:szCs w:val="21"/>
                <w:shd w:val="clear" w:color="auto" w:fill="auto"/>
                <w:lang w:val="en-US" w:eastAsia="zh-CN"/>
              </w:rPr>
              <w:t>5</w:t>
            </w:r>
            <w:r>
              <w:rPr>
                <w:rFonts w:hint="eastAsia" w:ascii="宋体" w:hAnsi="宋体"/>
                <w:color w:val="auto"/>
                <w:sz w:val="21"/>
                <w:szCs w:val="21"/>
                <w:shd w:val="clear" w:color="auto" w:fill="auto"/>
              </w:rPr>
              <w:t>分，省级4分，市级</w:t>
            </w:r>
            <w:r>
              <w:rPr>
                <w:rFonts w:hint="eastAsia" w:ascii="宋体" w:hAnsi="宋体"/>
                <w:color w:val="auto"/>
                <w:sz w:val="21"/>
                <w:szCs w:val="21"/>
                <w:shd w:val="clear" w:color="auto" w:fill="auto"/>
                <w:lang w:val="en-US" w:eastAsia="zh-CN"/>
              </w:rPr>
              <w:t>3</w:t>
            </w:r>
            <w:r>
              <w:rPr>
                <w:rFonts w:hint="eastAsia" w:ascii="宋体" w:hAnsi="宋体"/>
                <w:color w:val="auto"/>
                <w:sz w:val="21"/>
                <w:szCs w:val="21"/>
                <w:shd w:val="clear" w:color="auto" w:fill="auto"/>
              </w:rPr>
              <w:t>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4</w:t>
            </w:r>
            <w:r>
              <w:rPr>
                <w:rFonts w:hint="eastAsia" w:ascii="宋体" w:hAnsi="宋体"/>
                <w:color w:val="auto"/>
                <w:sz w:val="21"/>
                <w:szCs w:val="21"/>
                <w:shd w:val="clear" w:color="auto" w:fill="auto"/>
              </w:rPr>
              <w:t>-1/2/3/4</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五一劳动奖状、工人先锋号</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eastAsia="zh-CN"/>
              </w:rPr>
              <w:t>县</w:t>
            </w:r>
            <w:r>
              <w:rPr>
                <w:rFonts w:hint="eastAsia" w:ascii="宋体" w:hAnsi="宋体"/>
                <w:color w:val="auto"/>
                <w:sz w:val="21"/>
                <w:szCs w:val="21"/>
                <w:shd w:val="clear" w:color="auto" w:fill="auto"/>
              </w:rPr>
              <w:t>级以上总工会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国家级6分，省级4分，市级2分，县级1分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5</w:t>
            </w:r>
            <w:r>
              <w:rPr>
                <w:rFonts w:hint="eastAsia" w:ascii="宋体" w:hAnsi="宋体"/>
                <w:color w:val="auto"/>
                <w:sz w:val="21"/>
                <w:szCs w:val="21"/>
                <w:shd w:val="clear" w:color="auto" w:fill="auto"/>
              </w:rPr>
              <w:t>-1/2/3/4</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“三八”红旗集体</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eastAsia="zh-CN"/>
              </w:rPr>
              <w:t>县</w:t>
            </w:r>
            <w:r>
              <w:rPr>
                <w:rFonts w:hint="eastAsia" w:ascii="宋体" w:hAnsi="宋体"/>
                <w:color w:val="auto"/>
                <w:sz w:val="21"/>
                <w:szCs w:val="21"/>
                <w:shd w:val="clear" w:color="auto" w:fill="auto"/>
              </w:rPr>
              <w:t>级以上妇联</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国家级6分，省级4分，市级2分，县级1分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6</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中国建设工程鲁班奖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住房城乡建设部、中国建筑业协会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8分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7</w:t>
            </w:r>
            <w:r>
              <w:rPr>
                <w:rFonts w:hint="eastAsia" w:ascii="宋体" w:hAnsi="宋体"/>
                <w:color w:val="auto"/>
                <w:sz w:val="21"/>
                <w:szCs w:val="21"/>
                <w:shd w:val="clear" w:color="auto" w:fill="auto"/>
              </w:rPr>
              <w:t>-1/2</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国家优质工程奖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ascii="宋体" w:hAnsi="宋体"/>
                <w:color w:val="auto"/>
                <w:sz w:val="21"/>
                <w:szCs w:val="21"/>
                <w:shd w:val="clear" w:color="auto" w:fill="auto"/>
              </w:rPr>
              <w:t>中国施工企业管理协会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优质工程金质奖5分，优质工程奖4分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8</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中国土木工程詹天佑奖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中国土木工程学会、詹天佑土木工程科技发展基金会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4分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9</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中国钢结构金奖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中国建筑金属结构协会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4分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10</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中国建筑工程装饰奖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中国建筑装饰协会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4分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w:t>
            </w:r>
            <w:r>
              <w:rPr>
                <w:rFonts w:hint="eastAsia" w:ascii="宋体" w:hAnsi="宋体"/>
                <w:color w:val="auto"/>
                <w:sz w:val="21"/>
                <w:szCs w:val="21"/>
                <w:shd w:val="clear" w:color="auto" w:fill="auto"/>
                <w:lang w:val="en-US" w:eastAsia="zh-CN"/>
              </w:rPr>
              <w:t>1</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中国安装之星</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中国安装协会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4分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w:t>
            </w:r>
            <w:r>
              <w:rPr>
                <w:rFonts w:hint="eastAsia" w:ascii="宋体" w:hAnsi="宋体"/>
                <w:color w:val="auto"/>
                <w:sz w:val="21"/>
                <w:szCs w:val="21"/>
                <w:shd w:val="clear" w:color="auto" w:fill="auto"/>
                <w:lang w:val="en-US" w:eastAsia="zh-CN"/>
              </w:rPr>
              <w:t>2</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优秀工程勘察设计项目奖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住房和城乡建设部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6分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w:t>
            </w:r>
            <w:r>
              <w:rPr>
                <w:rFonts w:hint="eastAsia" w:ascii="宋体" w:hAnsi="宋体"/>
                <w:color w:val="auto"/>
                <w:sz w:val="21"/>
                <w:szCs w:val="21"/>
                <w:shd w:val="clear" w:color="auto" w:fill="auto"/>
                <w:lang w:val="en-US" w:eastAsia="zh-CN"/>
              </w:rPr>
              <w:t>3</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工程勘察、建筑设计行业和市政公用工程优秀勘察设计奖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中国勘察设计协会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4分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w:t>
            </w:r>
            <w:r>
              <w:rPr>
                <w:rFonts w:hint="eastAsia" w:ascii="宋体" w:hAnsi="宋体"/>
                <w:color w:val="auto"/>
                <w:sz w:val="21"/>
                <w:szCs w:val="21"/>
                <w:shd w:val="clear" w:color="auto" w:fill="auto"/>
                <w:lang w:val="en-US" w:eastAsia="zh-CN"/>
              </w:rPr>
              <w:t>4</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建筑设计奖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中国建筑学会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4分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olor w:val="auto"/>
                <w:sz w:val="21"/>
                <w:szCs w:val="21"/>
                <w:shd w:val="clear" w:color="auto" w:fill="auto"/>
                <w:lang w:eastAsia="zh-CN"/>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w:t>
            </w:r>
            <w:r>
              <w:rPr>
                <w:rFonts w:hint="eastAsia" w:ascii="宋体" w:hAnsi="宋体"/>
                <w:color w:val="auto"/>
                <w:sz w:val="21"/>
                <w:szCs w:val="21"/>
                <w:shd w:val="clear" w:color="auto" w:fill="auto"/>
                <w:lang w:val="en-US" w:eastAsia="zh-CN"/>
              </w:rPr>
              <w:t>5</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省/</w:t>
            </w:r>
            <w:r>
              <w:rPr>
                <w:rFonts w:hint="eastAsia" w:ascii="宋体" w:hAnsi="宋体"/>
                <w:color w:val="auto"/>
                <w:sz w:val="21"/>
                <w:szCs w:val="21"/>
                <w:shd w:val="clear" w:color="auto" w:fill="auto"/>
                <w:lang w:val="en-US" w:eastAsia="zh-CN"/>
              </w:rPr>
              <w:t>市</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县</w:t>
            </w:r>
            <w:r>
              <w:rPr>
                <w:rFonts w:hint="eastAsia" w:ascii="宋体" w:hAnsi="宋体"/>
                <w:color w:val="auto"/>
                <w:sz w:val="21"/>
                <w:szCs w:val="21"/>
                <w:shd w:val="clear" w:color="auto" w:fill="auto"/>
              </w:rPr>
              <w:t>长质量奖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河南省、周口市及各</w:t>
            </w:r>
            <w:r>
              <w:rPr>
                <w:rFonts w:hint="eastAsia" w:ascii="宋体" w:hAnsi="宋体"/>
                <w:color w:val="auto"/>
                <w:sz w:val="21"/>
                <w:szCs w:val="21"/>
                <w:shd w:val="clear" w:color="auto" w:fill="auto"/>
              </w:rPr>
              <w:t>县</w:t>
            </w:r>
            <w:r>
              <w:rPr>
                <w:rFonts w:hint="eastAsia" w:ascii="宋体" w:hAnsi="宋体"/>
                <w:color w:val="auto"/>
                <w:sz w:val="21"/>
                <w:szCs w:val="21"/>
                <w:shd w:val="clear" w:color="auto" w:fill="auto"/>
                <w:lang w:eastAsia="zh-CN"/>
              </w:rPr>
              <w:t>（</w:t>
            </w:r>
            <w:r>
              <w:rPr>
                <w:rFonts w:hint="eastAsia" w:ascii="宋体" w:hAnsi="宋体"/>
                <w:color w:val="auto"/>
                <w:sz w:val="21"/>
                <w:szCs w:val="21"/>
                <w:shd w:val="clear" w:color="auto" w:fill="auto"/>
                <w:lang w:val="en-US" w:eastAsia="zh-CN"/>
              </w:rPr>
              <w:t>市、区）</w:t>
            </w:r>
            <w:r>
              <w:rPr>
                <w:rFonts w:hint="eastAsia" w:ascii="宋体" w:hAnsi="宋体"/>
                <w:color w:val="auto"/>
                <w:sz w:val="21"/>
                <w:szCs w:val="21"/>
                <w:shd w:val="clear" w:color="auto" w:fill="auto"/>
              </w:rPr>
              <w:t>人民政府</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省级</w:t>
            </w:r>
            <w:r>
              <w:rPr>
                <w:rFonts w:hint="eastAsia" w:ascii="宋体" w:hAnsi="宋体"/>
                <w:color w:val="auto"/>
                <w:sz w:val="21"/>
                <w:szCs w:val="21"/>
                <w:shd w:val="clear" w:color="auto" w:fill="auto"/>
                <w:lang w:val="en-US" w:eastAsia="zh-CN"/>
              </w:rPr>
              <w:t>8</w:t>
            </w:r>
            <w:r>
              <w:rPr>
                <w:rFonts w:hint="eastAsia" w:ascii="宋体" w:hAnsi="宋体"/>
                <w:color w:val="auto"/>
                <w:sz w:val="21"/>
                <w:szCs w:val="21"/>
                <w:shd w:val="clear" w:color="auto" w:fill="auto"/>
              </w:rPr>
              <w:t>分，市级</w:t>
            </w:r>
            <w:r>
              <w:rPr>
                <w:rFonts w:hint="eastAsia" w:ascii="宋体" w:hAnsi="宋体"/>
                <w:color w:val="auto"/>
                <w:sz w:val="21"/>
                <w:szCs w:val="21"/>
                <w:shd w:val="clear" w:color="auto" w:fill="auto"/>
                <w:lang w:val="en-US" w:eastAsia="zh-CN"/>
              </w:rPr>
              <w:t>6</w:t>
            </w:r>
            <w:r>
              <w:rPr>
                <w:rFonts w:hint="eastAsia" w:ascii="宋体" w:hAnsi="宋体"/>
                <w:color w:val="auto"/>
                <w:sz w:val="21"/>
                <w:szCs w:val="21"/>
                <w:shd w:val="clear" w:color="auto" w:fill="auto"/>
              </w:rPr>
              <w:t>分，县级</w:t>
            </w:r>
            <w:r>
              <w:rPr>
                <w:rFonts w:hint="eastAsia" w:ascii="宋体" w:hAnsi="宋体"/>
                <w:color w:val="auto"/>
                <w:sz w:val="21"/>
                <w:szCs w:val="21"/>
                <w:shd w:val="clear" w:color="auto" w:fill="auto"/>
                <w:lang w:val="en-US" w:eastAsia="zh-CN"/>
              </w:rPr>
              <w:t>4</w:t>
            </w:r>
            <w:r>
              <w:rPr>
                <w:rFonts w:hint="eastAsia" w:ascii="宋体" w:hAnsi="宋体"/>
                <w:color w:val="auto"/>
                <w:sz w:val="21"/>
                <w:szCs w:val="21"/>
                <w:shd w:val="clear" w:color="auto" w:fill="auto"/>
              </w:rPr>
              <w:t>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w:t>
            </w:r>
            <w:r>
              <w:rPr>
                <w:rFonts w:hint="eastAsia" w:ascii="宋体" w:hAnsi="宋体"/>
                <w:color w:val="auto"/>
                <w:sz w:val="21"/>
                <w:szCs w:val="21"/>
                <w:shd w:val="clear" w:color="auto" w:fill="auto"/>
                <w:lang w:val="en-US" w:eastAsia="zh-CN"/>
              </w:rPr>
              <w:t>6</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河南省建设工程“中州杯”奖（省优质工程）</w:t>
            </w:r>
            <w:r>
              <w:rPr>
                <w:rFonts w:hint="eastAsia" w:ascii="宋体" w:hAnsi="宋体"/>
                <w:color w:val="auto"/>
                <w:sz w:val="21"/>
                <w:szCs w:val="21"/>
                <w:shd w:val="clear" w:color="auto" w:fill="auto"/>
                <w:lang w:eastAsia="zh-CN"/>
              </w:rPr>
              <w:t>，</w:t>
            </w:r>
            <w:r>
              <w:rPr>
                <w:rFonts w:hint="eastAsia" w:ascii="宋体" w:hAnsi="宋体"/>
                <w:color w:val="auto"/>
                <w:sz w:val="21"/>
                <w:szCs w:val="21"/>
                <w:shd w:val="clear" w:color="auto" w:fill="auto"/>
                <w:lang w:val="en-US" w:eastAsia="zh-CN"/>
              </w:rPr>
              <w:t>市级优质工程奖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河南省人力资源和社会保障厅、河南省住房和城乡建设厅</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省级</w:t>
            </w:r>
            <w:r>
              <w:rPr>
                <w:rFonts w:hint="eastAsia" w:ascii="宋体" w:hAnsi="宋体"/>
                <w:color w:val="auto"/>
                <w:sz w:val="21"/>
                <w:szCs w:val="21"/>
                <w:shd w:val="clear" w:color="auto" w:fill="auto"/>
              </w:rPr>
              <w:t>4分</w:t>
            </w:r>
            <w:r>
              <w:rPr>
                <w:rFonts w:hint="eastAsia" w:ascii="宋体" w:hAnsi="宋体"/>
                <w:color w:val="auto"/>
                <w:sz w:val="21"/>
                <w:szCs w:val="21"/>
                <w:shd w:val="clear" w:color="auto" w:fill="auto"/>
                <w:lang w:eastAsia="zh-CN"/>
              </w:rPr>
              <w:t>，</w:t>
            </w:r>
            <w:r>
              <w:rPr>
                <w:rFonts w:hint="eastAsia" w:ascii="宋体" w:hAnsi="宋体"/>
                <w:color w:val="auto"/>
                <w:sz w:val="21"/>
                <w:szCs w:val="21"/>
                <w:shd w:val="clear" w:color="auto" w:fill="auto"/>
                <w:lang w:val="en-US" w:eastAsia="zh-CN"/>
              </w:rPr>
              <w:t>市级2分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olor w:val="auto"/>
                <w:sz w:val="21"/>
                <w:szCs w:val="21"/>
                <w:shd w:val="clear" w:color="auto" w:fill="auto"/>
                <w:lang w:eastAsia="zh-CN"/>
              </w:rPr>
            </w:pPr>
            <w:r>
              <w:rPr>
                <w:rFonts w:hint="eastAsia" w:ascii="宋体" w:hAnsi="宋体"/>
                <w:color w:val="auto"/>
                <w:sz w:val="21"/>
                <w:szCs w:val="21"/>
                <w:shd w:val="clear" w:color="auto" w:fill="auto"/>
                <w:lang w:eastAsia="zh-CN"/>
              </w:rPr>
              <w:t>每多获得</w:t>
            </w:r>
            <w:r>
              <w:rPr>
                <w:rFonts w:hint="eastAsia" w:ascii="宋体" w:hAnsi="宋体"/>
                <w:color w:val="auto"/>
                <w:sz w:val="21"/>
                <w:szCs w:val="21"/>
                <w:shd w:val="clear" w:color="auto" w:fill="auto"/>
                <w:lang w:val="en-US" w:eastAsia="zh-CN"/>
              </w:rPr>
              <w:t>1项加2分，</w:t>
            </w:r>
            <w:r>
              <w:rPr>
                <w:rFonts w:hint="eastAsia" w:ascii="宋体" w:hAnsi="宋体"/>
                <w:color w:val="auto"/>
                <w:sz w:val="21"/>
                <w:szCs w:val="21"/>
                <w:shd w:val="clear" w:color="auto" w:fill="auto"/>
              </w:rPr>
              <w:t>1年内</w:t>
            </w:r>
            <w:r>
              <w:rPr>
                <w:rFonts w:hint="eastAsia" w:ascii="宋体" w:hAnsi="宋体"/>
                <w:color w:val="auto"/>
                <w:sz w:val="21"/>
                <w:szCs w:val="21"/>
                <w:shd w:val="clear" w:color="auto" w:fill="auto"/>
                <w:lang w:eastAsia="zh-CN"/>
              </w:rPr>
              <w:t>该项</w:t>
            </w:r>
            <w:r>
              <w:rPr>
                <w:rFonts w:hint="eastAsia" w:ascii="宋体" w:hAnsi="宋体"/>
                <w:color w:val="auto"/>
                <w:sz w:val="21"/>
                <w:szCs w:val="21"/>
                <w:shd w:val="clear" w:color="auto" w:fill="auto"/>
              </w:rPr>
              <w:t>累计</w:t>
            </w:r>
            <w:r>
              <w:rPr>
                <w:rFonts w:hint="eastAsia" w:ascii="宋体" w:hAnsi="宋体"/>
                <w:color w:val="auto"/>
                <w:sz w:val="21"/>
                <w:szCs w:val="21"/>
                <w:shd w:val="clear" w:color="auto" w:fill="auto"/>
                <w:lang w:eastAsia="zh-CN"/>
              </w:rPr>
              <w:t>分值</w:t>
            </w:r>
            <w:r>
              <w:rPr>
                <w:rFonts w:hint="eastAsia" w:ascii="宋体" w:hAnsi="宋体"/>
                <w:color w:val="auto"/>
                <w:sz w:val="21"/>
                <w:szCs w:val="21"/>
                <w:shd w:val="clear" w:color="auto" w:fill="auto"/>
              </w:rPr>
              <w:t>不超过</w:t>
            </w:r>
            <w:r>
              <w:rPr>
                <w:rFonts w:hint="eastAsia" w:ascii="宋体" w:hAnsi="宋体"/>
                <w:color w:val="auto"/>
                <w:sz w:val="21"/>
                <w:szCs w:val="21"/>
                <w:shd w:val="clear" w:color="auto" w:fill="auto"/>
                <w:lang w:val="en-US" w:eastAsia="zh-CN"/>
              </w:rPr>
              <w:t>8</w:t>
            </w:r>
            <w:r>
              <w:rPr>
                <w:rFonts w:hint="eastAsia" w:ascii="宋体" w:hAnsi="宋体"/>
                <w:color w:val="auto"/>
                <w:sz w:val="21"/>
                <w:szCs w:val="21"/>
                <w:shd w:val="clear" w:color="auto" w:fill="auto"/>
              </w:rPr>
              <w:t>分</w:t>
            </w:r>
            <w:r>
              <w:rPr>
                <w:rFonts w:hint="eastAsia" w:ascii="宋体" w:hAnsi="宋体"/>
                <w:color w:val="auto"/>
                <w:sz w:val="21"/>
                <w:szCs w:val="21"/>
                <w:shd w:val="clear" w:color="auto" w:fill="auto"/>
                <w:lang w:eastAsia="zh-CN"/>
              </w:rPr>
              <w:t>。</w:t>
            </w: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w:t>
            </w:r>
            <w:r>
              <w:rPr>
                <w:rFonts w:hint="eastAsia" w:ascii="宋体" w:hAnsi="宋体"/>
                <w:color w:val="auto"/>
                <w:sz w:val="21"/>
                <w:szCs w:val="21"/>
                <w:shd w:val="clear" w:color="auto" w:fill="auto"/>
                <w:lang w:val="en-US" w:eastAsia="zh-CN"/>
              </w:rPr>
              <w:t>7</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绿色建筑创新奖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住房和城乡建设部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6分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vMerge w:val="restart"/>
            <w:tcBorders>
              <w:top w:val="single" w:color="auto" w:sz="6" w:space="0"/>
              <w:left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w:t>
            </w:r>
            <w:r>
              <w:rPr>
                <w:rFonts w:hint="eastAsia" w:ascii="宋体" w:hAnsi="宋体"/>
                <w:color w:val="auto"/>
                <w:sz w:val="21"/>
                <w:szCs w:val="21"/>
                <w:shd w:val="clear" w:color="auto" w:fill="auto"/>
                <w:lang w:val="en-US" w:eastAsia="zh-CN"/>
              </w:rPr>
              <w:t>8</w:t>
            </w:r>
            <w:r>
              <w:rPr>
                <w:rFonts w:hint="eastAsia" w:ascii="宋体" w:hAnsi="宋体"/>
                <w:color w:val="auto"/>
                <w:sz w:val="21"/>
                <w:szCs w:val="21"/>
                <w:shd w:val="clear" w:color="auto" w:fill="auto"/>
              </w:rPr>
              <w:t>-1/2/3</w:t>
            </w:r>
          </w:p>
        </w:tc>
        <w:tc>
          <w:tcPr>
            <w:tcW w:w="2918" w:type="dxa"/>
            <w:vMerge w:val="restart"/>
            <w:tcBorders>
              <w:top w:val="single" w:color="auto" w:sz="6" w:space="0"/>
              <w:left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获得</w:t>
            </w:r>
            <w:r>
              <w:rPr>
                <w:rFonts w:hint="eastAsia" w:ascii="宋体" w:hAnsi="宋体"/>
                <w:color w:val="auto"/>
                <w:sz w:val="21"/>
                <w:szCs w:val="21"/>
                <w:shd w:val="clear" w:color="auto" w:fill="auto"/>
              </w:rPr>
              <w:t>科学技术进步奖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国务院</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特等奖20分，一等奖15分，特等奖10分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64" w:hRule="atLeast"/>
          <w:jc w:val="center"/>
        </w:trPr>
        <w:tc>
          <w:tcPr>
            <w:tcW w:w="1643" w:type="dxa"/>
            <w:vMerge w:val="continue"/>
            <w:tcBorders>
              <w:left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c>
          <w:tcPr>
            <w:tcW w:w="2918" w:type="dxa"/>
            <w:vMerge w:val="continue"/>
            <w:tcBorders>
              <w:left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c>
          <w:tcPr>
            <w:tcW w:w="2220" w:type="dxa"/>
            <w:tcBorders>
              <w:top w:val="single" w:color="auto" w:sz="6" w:space="0"/>
              <w:left w:val="single" w:color="auto" w:sz="6" w:space="0"/>
              <w:bottom w:val="single" w:color="auto" w:sz="4"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河南省人民政府</w:t>
            </w:r>
          </w:p>
        </w:tc>
        <w:tc>
          <w:tcPr>
            <w:tcW w:w="3472" w:type="dxa"/>
            <w:tcBorders>
              <w:top w:val="single" w:color="auto" w:sz="6" w:space="0"/>
              <w:left w:val="single" w:color="auto" w:sz="6" w:space="0"/>
              <w:bottom w:val="single" w:color="auto" w:sz="4"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一等奖10分，二等奖6分，三等奖4分</w:t>
            </w:r>
          </w:p>
        </w:tc>
        <w:tc>
          <w:tcPr>
            <w:tcW w:w="1065" w:type="dxa"/>
            <w:tcBorders>
              <w:top w:val="single" w:color="auto" w:sz="6" w:space="0"/>
              <w:left w:val="single" w:color="auto" w:sz="6" w:space="0"/>
              <w:bottom w:val="single" w:color="auto" w:sz="4"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4"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vMerge w:val="continue"/>
            <w:tcBorders>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c>
          <w:tcPr>
            <w:tcW w:w="2918" w:type="dxa"/>
            <w:vMerge w:val="continue"/>
            <w:tcBorders>
              <w:left w:val="single" w:color="auto" w:sz="6" w:space="0"/>
              <w:bottom w:val="single" w:color="auto" w:sz="4"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c>
          <w:tcPr>
            <w:tcW w:w="2220" w:type="dxa"/>
            <w:tcBorders>
              <w:top w:val="single" w:color="auto" w:sz="6" w:space="0"/>
              <w:left w:val="single" w:color="auto" w:sz="6" w:space="0"/>
              <w:bottom w:val="single" w:color="auto" w:sz="4" w:space="0"/>
              <w:right w:val="single" w:color="auto" w:sz="6" w:space="0"/>
              <w:tl2br w:val="nil"/>
              <w:tr2bl w:val="nil"/>
            </w:tcBorders>
            <w:vAlign w:val="center"/>
          </w:tcPr>
          <w:p>
            <w:pPr>
              <w:shd w:val="clear"/>
              <w:jc w:val="center"/>
              <w:rPr>
                <w:rFonts w:hint="default"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周口市人民政府</w:t>
            </w:r>
          </w:p>
        </w:tc>
        <w:tc>
          <w:tcPr>
            <w:tcW w:w="3472" w:type="dxa"/>
            <w:tcBorders>
              <w:top w:val="single" w:color="auto" w:sz="6" w:space="0"/>
              <w:left w:val="single" w:color="auto" w:sz="6" w:space="0"/>
              <w:bottom w:val="single" w:color="auto" w:sz="4"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一等奖</w:t>
            </w:r>
            <w:r>
              <w:rPr>
                <w:rFonts w:hint="eastAsia" w:ascii="宋体" w:hAnsi="宋体"/>
                <w:color w:val="auto"/>
                <w:sz w:val="21"/>
                <w:szCs w:val="21"/>
                <w:shd w:val="clear" w:color="auto" w:fill="auto"/>
                <w:lang w:val="en-US" w:eastAsia="zh-CN"/>
              </w:rPr>
              <w:t>5</w:t>
            </w:r>
            <w:r>
              <w:rPr>
                <w:rFonts w:hint="eastAsia" w:ascii="宋体" w:hAnsi="宋体"/>
                <w:color w:val="auto"/>
                <w:sz w:val="21"/>
                <w:szCs w:val="21"/>
                <w:shd w:val="clear" w:color="auto" w:fill="auto"/>
              </w:rPr>
              <w:t>分，二等奖</w:t>
            </w:r>
            <w:r>
              <w:rPr>
                <w:rFonts w:hint="eastAsia" w:ascii="宋体" w:hAnsi="宋体"/>
                <w:color w:val="auto"/>
                <w:sz w:val="21"/>
                <w:szCs w:val="21"/>
                <w:shd w:val="clear" w:color="auto" w:fill="auto"/>
                <w:lang w:val="en-US" w:eastAsia="zh-CN"/>
              </w:rPr>
              <w:t>3</w:t>
            </w:r>
            <w:r>
              <w:rPr>
                <w:rFonts w:hint="eastAsia" w:ascii="宋体" w:hAnsi="宋体"/>
                <w:color w:val="auto"/>
                <w:sz w:val="21"/>
                <w:szCs w:val="21"/>
                <w:shd w:val="clear" w:color="auto" w:fill="auto"/>
              </w:rPr>
              <w:t>分，三等奖</w:t>
            </w:r>
            <w:r>
              <w:rPr>
                <w:rFonts w:hint="eastAsia" w:ascii="宋体" w:hAnsi="宋体"/>
                <w:color w:val="auto"/>
                <w:sz w:val="21"/>
                <w:szCs w:val="21"/>
                <w:shd w:val="clear" w:color="auto" w:fill="auto"/>
                <w:lang w:val="en-US" w:eastAsia="zh-CN"/>
              </w:rPr>
              <w:t>2</w:t>
            </w:r>
            <w:r>
              <w:rPr>
                <w:rFonts w:hint="eastAsia" w:ascii="宋体" w:hAnsi="宋体"/>
                <w:color w:val="auto"/>
                <w:sz w:val="21"/>
                <w:szCs w:val="21"/>
                <w:shd w:val="clear" w:color="auto" w:fill="auto"/>
              </w:rPr>
              <w:t>分</w:t>
            </w:r>
          </w:p>
        </w:tc>
        <w:tc>
          <w:tcPr>
            <w:tcW w:w="1065" w:type="dxa"/>
            <w:tcBorders>
              <w:top w:val="single" w:color="auto" w:sz="6" w:space="0"/>
              <w:left w:val="single" w:color="auto" w:sz="6" w:space="0"/>
              <w:bottom w:val="single" w:color="auto" w:sz="4" w:space="0"/>
              <w:right w:val="single" w:color="auto" w:sz="6" w:space="0"/>
              <w:tl2br w:val="nil"/>
              <w:tr2bl w:val="nil"/>
            </w:tcBorders>
            <w:vAlign w:val="center"/>
          </w:tcPr>
          <w:p>
            <w:pPr>
              <w:shd w:val="clear"/>
              <w:jc w:val="center"/>
              <w:rPr>
                <w:rFonts w:hint="eastAsia"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3</w:t>
            </w:r>
          </w:p>
        </w:tc>
        <w:tc>
          <w:tcPr>
            <w:tcW w:w="1973" w:type="dxa"/>
            <w:tcBorders>
              <w:top w:val="single" w:color="auto" w:sz="6" w:space="0"/>
              <w:left w:val="single" w:color="auto" w:sz="6" w:space="0"/>
              <w:bottom w:val="single" w:color="auto" w:sz="4"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-1</w:t>
            </w:r>
            <w:r>
              <w:rPr>
                <w:rFonts w:hint="eastAsia" w:ascii="宋体" w:hAnsi="宋体"/>
                <w:color w:val="auto"/>
                <w:sz w:val="21"/>
                <w:szCs w:val="21"/>
                <w:shd w:val="clear" w:color="auto" w:fill="auto"/>
                <w:lang w:val="en-US" w:eastAsia="zh-CN"/>
              </w:rPr>
              <w:t>9</w:t>
            </w:r>
            <w:r>
              <w:rPr>
                <w:rFonts w:hint="eastAsia" w:ascii="宋体" w:hAnsi="宋体"/>
                <w:color w:val="auto"/>
                <w:sz w:val="21"/>
                <w:szCs w:val="21"/>
                <w:shd w:val="clear" w:color="auto" w:fill="auto"/>
              </w:rPr>
              <w:t>-1/2</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高新技术企业</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r>
              <w:rPr>
                <w:rFonts w:hint="eastAsia" w:ascii="宋体" w:hAnsi="宋体"/>
                <w:color w:val="auto"/>
                <w:sz w:val="21"/>
                <w:szCs w:val="21"/>
                <w:shd w:val="clear" w:color="auto" w:fill="auto"/>
              </w:rPr>
              <w:t>科技、财政、税务部门联合</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rPr>
              <w:t>国家级6分，省级4分</w:t>
            </w:r>
            <w:r>
              <w:rPr>
                <w:rFonts w:hint="eastAsia" w:ascii="宋体" w:hAnsi="宋体"/>
                <w:color w:val="auto"/>
                <w:sz w:val="21"/>
                <w:szCs w:val="21"/>
                <w:shd w:val="clear" w:color="auto" w:fill="auto"/>
                <w:lang w:eastAsia="zh-CN"/>
              </w:rPr>
              <w:t>，</w:t>
            </w:r>
            <w:r>
              <w:rPr>
                <w:rFonts w:hint="eastAsia" w:ascii="宋体" w:hAnsi="宋体"/>
                <w:color w:val="auto"/>
                <w:sz w:val="21"/>
                <w:szCs w:val="21"/>
                <w:shd w:val="clear" w:color="auto" w:fill="auto"/>
                <w:lang w:val="en-US" w:eastAsia="zh-CN"/>
              </w:rPr>
              <w:t>市级2分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color w:val="auto"/>
                <w:sz w:val="21"/>
                <w:szCs w:val="21"/>
                <w:shd w:val="clear" w:color="auto" w:fill="auto"/>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color w:val="auto"/>
                <w:sz w:val="21"/>
                <w:szCs w:val="21"/>
                <w:shd w:val="clear" w:color="auto" w:fill="auto"/>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20</w:t>
            </w:r>
            <w:r>
              <w:rPr>
                <w:rFonts w:hint="eastAsia" w:ascii="宋体" w:hAnsi="宋体"/>
                <w:color w:val="auto"/>
                <w:sz w:val="21"/>
                <w:szCs w:val="21"/>
                <w:shd w:val="clear" w:color="auto" w:fill="auto"/>
              </w:rPr>
              <w:t>-1/2</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建立技术中心</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发展改革委、科技、财政、海关、税务等部门联合</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国家级5分，省级3分</w:t>
            </w:r>
            <w:r>
              <w:rPr>
                <w:rFonts w:hint="eastAsia" w:ascii="宋体" w:hAnsi="宋体"/>
                <w:color w:val="auto"/>
                <w:sz w:val="21"/>
                <w:szCs w:val="21"/>
                <w:shd w:val="clear" w:color="auto" w:fill="auto"/>
                <w:lang w:eastAsia="zh-CN"/>
              </w:rPr>
              <w:t>，</w:t>
            </w:r>
            <w:r>
              <w:rPr>
                <w:rFonts w:hint="eastAsia" w:ascii="宋体" w:hAnsi="宋体"/>
                <w:color w:val="auto"/>
                <w:sz w:val="21"/>
                <w:szCs w:val="21"/>
                <w:shd w:val="clear" w:color="auto" w:fill="auto"/>
                <w:lang w:val="en-US" w:eastAsia="zh-CN"/>
              </w:rPr>
              <w:t>市级1分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Calibri" w:hAnsi="Calibri"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eastAsia="宋体" w:cs="Times New Roman"/>
                <w:color w:val="auto"/>
                <w:kern w:val="2"/>
                <w:sz w:val="21"/>
                <w:szCs w:val="21"/>
                <w:shd w:val="clear" w:color="auto" w:fill="auto"/>
                <w:lang w:val="en-US" w:eastAsia="zh-CN" w:bidi="ar-SA"/>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21</w:t>
            </w:r>
            <w:r>
              <w:rPr>
                <w:rFonts w:hint="eastAsia" w:ascii="宋体" w:hAnsi="宋体"/>
                <w:color w:val="auto"/>
                <w:sz w:val="21"/>
                <w:szCs w:val="21"/>
                <w:shd w:val="clear" w:color="auto" w:fill="auto"/>
              </w:rPr>
              <w:t>-1/2</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建立</w:t>
            </w:r>
            <w:r>
              <w:rPr>
                <w:rFonts w:hint="eastAsia" w:ascii="宋体" w:hAnsi="宋体"/>
                <w:color w:val="auto"/>
                <w:sz w:val="21"/>
                <w:szCs w:val="21"/>
                <w:shd w:val="clear" w:color="auto" w:fill="auto"/>
                <w:lang w:eastAsia="zh-CN"/>
              </w:rPr>
              <w:t>工程</w:t>
            </w:r>
            <w:r>
              <w:rPr>
                <w:rFonts w:hint="eastAsia" w:ascii="宋体" w:hAnsi="宋体"/>
                <w:color w:val="auto"/>
                <w:sz w:val="21"/>
                <w:szCs w:val="21"/>
                <w:shd w:val="clear" w:color="auto" w:fill="auto"/>
              </w:rPr>
              <w:t>技术</w:t>
            </w:r>
            <w:r>
              <w:rPr>
                <w:rFonts w:hint="eastAsia" w:ascii="宋体" w:hAnsi="宋体"/>
                <w:color w:val="auto"/>
                <w:sz w:val="21"/>
                <w:szCs w:val="21"/>
                <w:shd w:val="clear" w:color="auto" w:fill="auto"/>
                <w:lang w:eastAsia="zh-CN"/>
              </w:rPr>
              <w:t>研究</w:t>
            </w:r>
            <w:r>
              <w:rPr>
                <w:rFonts w:hint="eastAsia" w:ascii="宋体" w:hAnsi="宋体"/>
                <w:color w:val="auto"/>
                <w:sz w:val="21"/>
                <w:szCs w:val="21"/>
                <w:shd w:val="clear" w:color="auto" w:fill="auto"/>
              </w:rPr>
              <w:t>中心</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科技部</w:t>
            </w:r>
            <w:r>
              <w:rPr>
                <w:rFonts w:hint="eastAsia" w:ascii="宋体" w:hAnsi="宋体"/>
                <w:color w:val="auto"/>
                <w:sz w:val="21"/>
                <w:szCs w:val="21"/>
                <w:shd w:val="clear" w:color="auto" w:fill="auto"/>
                <w:lang w:eastAsia="zh-CN"/>
              </w:rPr>
              <w:t>、科技厅</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国家级5分，省级3分</w:t>
            </w:r>
            <w:r>
              <w:rPr>
                <w:rFonts w:hint="eastAsia" w:ascii="宋体" w:hAnsi="宋体"/>
                <w:color w:val="auto"/>
                <w:sz w:val="21"/>
                <w:szCs w:val="21"/>
                <w:shd w:val="clear" w:color="auto" w:fill="auto"/>
                <w:lang w:eastAsia="zh-CN"/>
              </w:rPr>
              <w:t>，</w:t>
            </w:r>
            <w:r>
              <w:rPr>
                <w:rFonts w:hint="eastAsia" w:ascii="宋体" w:hAnsi="宋体"/>
                <w:color w:val="auto"/>
                <w:sz w:val="21"/>
                <w:szCs w:val="21"/>
                <w:shd w:val="clear" w:color="auto" w:fill="auto"/>
                <w:lang w:val="en-US" w:eastAsia="zh-CN"/>
              </w:rPr>
              <w:t>市级1分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Calibri" w:hAnsi="Calibri"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ascii="宋体" w:hAnsi="宋体" w:eastAsia="宋体" w:cs="Times New Roman"/>
                <w:color w:val="auto"/>
                <w:kern w:val="2"/>
                <w:sz w:val="21"/>
                <w:szCs w:val="21"/>
                <w:shd w:val="clear" w:color="auto" w:fill="auto"/>
                <w:lang w:val="en-US" w:eastAsia="zh-CN" w:bidi="ar-SA"/>
              </w:rPr>
            </w:pPr>
          </w:p>
        </w:tc>
      </w:tr>
      <w:tr>
        <w:tblPrEx>
          <w:tblCellMar>
            <w:top w:w="0" w:type="dxa"/>
            <w:left w:w="108" w:type="dxa"/>
            <w:bottom w:w="0" w:type="dxa"/>
            <w:right w:w="108" w:type="dxa"/>
          </w:tblCellMar>
        </w:tblPrEx>
        <w:trPr>
          <w:gridAfter w:val="1"/>
          <w:wAfter w:w="75" w:type="dxa"/>
          <w:trHeight w:val="50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22</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获得建筑工程质量标准化示范工地</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县级以上住房城乡建设行政主管部门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省级</w:t>
            </w:r>
            <w:r>
              <w:rPr>
                <w:rFonts w:hint="eastAsia" w:ascii="宋体" w:hAnsi="宋体"/>
                <w:color w:val="auto"/>
                <w:sz w:val="21"/>
                <w:szCs w:val="21"/>
                <w:shd w:val="clear" w:color="auto" w:fill="auto"/>
                <w:lang w:val="en-US" w:eastAsia="zh-CN"/>
              </w:rPr>
              <w:t>3</w:t>
            </w:r>
            <w:r>
              <w:rPr>
                <w:rFonts w:hint="eastAsia" w:ascii="宋体" w:hAnsi="宋体"/>
                <w:color w:val="auto"/>
                <w:sz w:val="21"/>
                <w:szCs w:val="21"/>
                <w:shd w:val="clear" w:color="auto" w:fill="auto"/>
              </w:rPr>
              <w:t>分，市级2分，县级1分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s="Times New Roman"/>
                <w:color w:val="auto"/>
                <w:kern w:val="2"/>
                <w:sz w:val="21"/>
                <w:szCs w:val="21"/>
                <w:shd w:val="clear" w:color="auto" w:fill="auto"/>
                <w:lang w:val="en-US" w:eastAsia="zh-CN" w:bidi="ar-SA"/>
              </w:rPr>
            </w:pPr>
            <w:r>
              <w:rPr>
                <w:rFonts w:hint="eastAsia" w:ascii="宋体" w:hAnsi="宋体" w:cs="Times New Roman"/>
                <w:color w:val="auto"/>
                <w:kern w:val="2"/>
                <w:sz w:val="21"/>
                <w:szCs w:val="21"/>
                <w:shd w:val="clear" w:color="auto" w:fill="auto"/>
                <w:lang w:val="en-US" w:eastAsia="zh-CN" w:bidi="ar-SA"/>
              </w:rPr>
              <w:t>可累计</w:t>
            </w:r>
          </w:p>
        </w:tc>
      </w:tr>
      <w:tr>
        <w:tblPrEx>
          <w:tblCellMar>
            <w:top w:w="0" w:type="dxa"/>
            <w:left w:w="108" w:type="dxa"/>
            <w:bottom w:w="0" w:type="dxa"/>
            <w:right w:w="108" w:type="dxa"/>
          </w:tblCellMar>
        </w:tblPrEx>
        <w:trPr>
          <w:gridAfter w:val="1"/>
          <w:wAfter w:w="75" w:type="dxa"/>
          <w:trHeight w:val="68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23</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获得建筑工程安全标准化示范工地</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县级以上住房城乡建设行政主管部门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rPr>
              <w:t>省级</w:t>
            </w:r>
            <w:r>
              <w:rPr>
                <w:rFonts w:hint="eastAsia" w:ascii="宋体" w:hAnsi="宋体"/>
                <w:color w:val="auto"/>
                <w:sz w:val="21"/>
                <w:szCs w:val="21"/>
                <w:shd w:val="clear" w:color="auto" w:fill="auto"/>
                <w:lang w:val="en-US" w:eastAsia="zh-CN"/>
              </w:rPr>
              <w:t>3</w:t>
            </w:r>
            <w:r>
              <w:rPr>
                <w:rFonts w:hint="eastAsia" w:ascii="宋体" w:hAnsi="宋体"/>
                <w:color w:val="auto"/>
                <w:sz w:val="21"/>
                <w:szCs w:val="21"/>
                <w:shd w:val="clear" w:color="auto" w:fill="auto"/>
              </w:rPr>
              <w:t>分，市级2分，县级1分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s="Times New Roman"/>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s="Times New Roman"/>
                <w:color w:val="auto"/>
                <w:kern w:val="2"/>
                <w:sz w:val="21"/>
                <w:szCs w:val="21"/>
                <w:shd w:val="clear" w:color="auto" w:fill="auto"/>
                <w:lang w:val="en-US" w:eastAsia="zh-CN" w:bidi="ar-SA"/>
              </w:rPr>
            </w:pPr>
            <w:r>
              <w:rPr>
                <w:rFonts w:hint="eastAsia" w:ascii="宋体" w:hAnsi="宋体" w:cs="Times New Roman"/>
                <w:color w:val="auto"/>
                <w:kern w:val="2"/>
                <w:sz w:val="21"/>
                <w:szCs w:val="21"/>
                <w:shd w:val="clear" w:color="auto" w:fill="auto"/>
                <w:lang w:val="en-US" w:eastAsia="zh-CN" w:bidi="ar-SA"/>
              </w:rPr>
              <w:t>可累计</w:t>
            </w:r>
          </w:p>
        </w:tc>
      </w:tr>
      <w:tr>
        <w:tblPrEx>
          <w:tblCellMar>
            <w:top w:w="0" w:type="dxa"/>
            <w:left w:w="108" w:type="dxa"/>
            <w:bottom w:w="0" w:type="dxa"/>
            <w:right w:w="108" w:type="dxa"/>
          </w:tblCellMar>
        </w:tblPrEx>
        <w:trPr>
          <w:gridAfter w:val="1"/>
          <w:wAfter w:w="75" w:type="dxa"/>
          <w:trHeight w:val="1130"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24</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企业安全生产“双重预防体系”建立并评审通过</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县级以上</w:t>
            </w:r>
            <w:r>
              <w:rPr>
                <w:rFonts w:hint="eastAsia" w:ascii="宋体" w:hAnsi="宋体"/>
                <w:color w:val="auto"/>
                <w:sz w:val="21"/>
                <w:szCs w:val="21"/>
                <w:shd w:val="clear" w:color="auto" w:fill="auto"/>
              </w:rPr>
              <w:t>住房城乡建设行政主管部门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2分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3</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s="Times New Roman"/>
                <w:color w:val="auto"/>
                <w:kern w:val="2"/>
                <w:sz w:val="21"/>
                <w:szCs w:val="21"/>
                <w:shd w:val="clear" w:color="auto" w:fill="auto"/>
                <w:lang w:val="en-US" w:eastAsia="zh-CN" w:bidi="ar-SA"/>
              </w:rPr>
            </w:pPr>
            <w:r>
              <w:rPr>
                <w:rFonts w:hint="eastAsia" w:ascii="宋体" w:hAnsi="宋体" w:cs="Times New Roman"/>
                <w:color w:val="auto"/>
                <w:kern w:val="2"/>
                <w:sz w:val="21"/>
                <w:szCs w:val="21"/>
                <w:shd w:val="clear" w:color="auto" w:fill="auto"/>
                <w:lang w:val="en-US" w:eastAsia="zh-CN" w:bidi="ar-SA"/>
              </w:rPr>
              <w:t>可累计</w:t>
            </w:r>
          </w:p>
        </w:tc>
      </w:tr>
      <w:tr>
        <w:tblPrEx>
          <w:tblCellMar>
            <w:top w:w="0" w:type="dxa"/>
            <w:left w:w="108" w:type="dxa"/>
            <w:bottom w:w="0" w:type="dxa"/>
            <w:right w:w="108" w:type="dxa"/>
          </w:tblCellMar>
        </w:tblPrEx>
        <w:trPr>
          <w:gridAfter w:val="1"/>
          <w:wAfter w:w="75" w:type="dxa"/>
          <w:trHeight w:val="995"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25</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项目安全生产“双重预防体系”建立并评审通过</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县级以上</w:t>
            </w:r>
            <w:r>
              <w:rPr>
                <w:rFonts w:hint="eastAsia" w:ascii="宋体" w:hAnsi="宋体"/>
                <w:color w:val="auto"/>
                <w:sz w:val="21"/>
                <w:szCs w:val="21"/>
                <w:shd w:val="clear" w:color="auto" w:fill="auto"/>
              </w:rPr>
              <w:t>住房城乡建设行政主管部门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2分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2</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s="Times New Roman"/>
                <w:color w:val="auto"/>
                <w:kern w:val="2"/>
                <w:sz w:val="21"/>
                <w:szCs w:val="21"/>
                <w:shd w:val="clear" w:color="auto" w:fill="auto"/>
                <w:lang w:val="en-US" w:eastAsia="zh-CN" w:bidi="ar-SA"/>
              </w:rPr>
            </w:pPr>
            <w:r>
              <w:rPr>
                <w:rFonts w:hint="eastAsia" w:ascii="宋体" w:hAnsi="宋体" w:cs="Times New Roman"/>
                <w:color w:val="auto"/>
                <w:kern w:val="2"/>
                <w:sz w:val="21"/>
                <w:szCs w:val="21"/>
                <w:shd w:val="clear" w:color="auto" w:fill="auto"/>
                <w:lang w:val="en-US" w:eastAsia="zh-CN" w:bidi="ar-SA"/>
              </w:rPr>
              <w:t>可累计</w:t>
            </w:r>
          </w:p>
        </w:tc>
      </w:tr>
      <w:tr>
        <w:tblPrEx>
          <w:tblCellMar>
            <w:top w:w="0" w:type="dxa"/>
            <w:left w:w="108" w:type="dxa"/>
            <w:bottom w:w="0" w:type="dxa"/>
            <w:right w:w="108" w:type="dxa"/>
          </w:tblCellMar>
        </w:tblPrEx>
        <w:trPr>
          <w:gridAfter w:val="1"/>
          <w:wAfter w:w="75" w:type="dxa"/>
          <w:trHeight w:val="1343"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26</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建立农民工劳务实名制工地并经认定</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lang w:val="en-US" w:eastAsia="zh-CN"/>
              </w:rPr>
              <w:t>县级以上</w:t>
            </w:r>
            <w:r>
              <w:rPr>
                <w:rFonts w:hint="eastAsia" w:ascii="宋体" w:hAnsi="宋体"/>
                <w:color w:val="auto"/>
                <w:sz w:val="21"/>
                <w:szCs w:val="21"/>
                <w:shd w:val="clear" w:color="auto" w:fill="auto"/>
              </w:rPr>
              <w:t>住房城乡建设行政主管部门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olor w:val="auto"/>
                <w:sz w:val="21"/>
                <w:szCs w:val="21"/>
                <w:shd w:val="clear" w:color="auto" w:fill="auto"/>
                <w:lang w:eastAsia="zh-CN"/>
              </w:rPr>
            </w:pPr>
            <w:r>
              <w:rPr>
                <w:rFonts w:hint="eastAsia" w:ascii="宋体" w:hAnsi="宋体"/>
                <w:color w:val="auto"/>
                <w:sz w:val="21"/>
                <w:szCs w:val="21"/>
                <w:shd w:val="clear" w:color="auto" w:fill="auto"/>
              </w:rPr>
              <w:t>建立农民工实名制信息化系统，并与主管部门对接，得1分；</w:t>
            </w:r>
            <w:r>
              <w:rPr>
                <w:rFonts w:hint="eastAsia" w:ascii="宋体" w:hAnsi="宋体"/>
                <w:color w:val="auto"/>
                <w:sz w:val="21"/>
                <w:szCs w:val="21"/>
                <w:shd w:val="clear" w:color="auto" w:fill="auto"/>
                <w:lang w:val="en-US" w:eastAsia="zh-CN"/>
              </w:rPr>
              <w:t>施工总承包单位代发工资，得1分；</w:t>
            </w:r>
            <w:r>
              <w:rPr>
                <w:rFonts w:hint="eastAsia" w:ascii="宋体" w:hAnsi="宋体"/>
                <w:color w:val="auto"/>
                <w:sz w:val="21"/>
                <w:szCs w:val="21"/>
                <w:shd w:val="clear" w:color="auto" w:fill="auto"/>
              </w:rPr>
              <w:t>开设农民工工资专用账户，得1分；实行银行代发工资制度，得1分</w:t>
            </w:r>
            <w:r>
              <w:rPr>
                <w:rFonts w:hint="eastAsia" w:ascii="宋体" w:hAnsi="宋体"/>
                <w:color w:val="auto"/>
                <w:sz w:val="21"/>
                <w:szCs w:val="21"/>
                <w:shd w:val="clear" w:color="auto" w:fill="auto"/>
                <w:lang w:eastAsia="zh-CN"/>
              </w:rPr>
              <w:t>。</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2</w:t>
            </w:r>
          </w:p>
        </w:tc>
        <w:tc>
          <w:tcPr>
            <w:tcW w:w="197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宋体" w:cs="Times New Roman"/>
                <w:color w:val="auto"/>
                <w:kern w:val="2"/>
                <w:sz w:val="21"/>
                <w:szCs w:val="21"/>
                <w:shd w:val="clear" w:color="auto" w:fill="auto"/>
                <w:lang w:val="en-US" w:eastAsia="zh-CN" w:bidi="ar-SA"/>
              </w:rPr>
            </w:pPr>
            <w:r>
              <w:rPr>
                <w:rFonts w:hint="eastAsia" w:ascii="宋体" w:hAnsi="宋体" w:cs="Times New Roman"/>
                <w:color w:val="auto"/>
                <w:kern w:val="2"/>
                <w:sz w:val="21"/>
                <w:szCs w:val="21"/>
                <w:shd w:val="clear" w:color="auto" w:fill="auto"/>
                <w:lang w:val="en-US" w:eastAsia="zh-CN" w:bidi="ar-SA"/>
              </w:rPr>
              <w:t>项目可累计</w:t>
            </w:r>
          </w:p>
        </w:tc>
      </w:tr>
      <w:tr>
        <w:tblPrEx>
          <w:tblCellMar>
            <w:top w:w="0" w:type="dxa"/>
            <w:left w:w="108" w:type="dxa"/>
            <w:bottom w:w="0" w:type="dxa"/>
            <w:right w:w="108" w:type="dxa"/>
          </w:tblCellMar>
        </w:tblPrEx>
        <w:trPr>
          <w:gridAfter w:val="1"/>
          <w:wAfter w:w="75" w:type="dxa"/>
          <w:trHeight w:val="1343"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27</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全国职工职业技能大赛单位或自有工人名次奖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中华全国总工会、住房城乡建设部等部委</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Theme="minorEastAsia"/>
                <w:color w:val="auto"/>
                <w:sz w:val="21"/>
                <w:szCs w:val="21"/>
                <w:shd w:val="clear" w:color="auto" w:fill="auto"/>
                <w:lang w:val="en-US" w:eastAsia="zh-CN"/>
              </w:rPr>
            </w:pPr>
            <w:r>
              <w:rPr>
                <w:rFonts w:hint="eastAsia" w:ascii="宋体" w:hAnsi="宋体"/>
                <w:color w:val="auto"/>
                <w:sz w:val="21"/>
                <w:szCs w:val="21"/>
                <w:shd w:val="clear" w:color="auto" w:fill="auto"/>
                <w:lang w:eastAsia="zh-CN"/>
              </w:rPr>
              <w:t>第</w:t>
            </w:r>
            <w:r>
              <w:rPr>
                <w:rFonts w:hint="eastAsia" w:ascii="宋体" w:hAnsi="宋体"/>
                <w:color w:val="auto"/>
                <w:sz w:val="21"/>
                <w:szCs w:val="21"/>
                <w:shd w:val="clear" w:color="auto" w:fill="auto"/>
                <w:lang w:val="en-US" w:eastAsia="zh-CN"/>
              </w:rPr>
              <w:t>1-3名5分，第4-10名4分，第11-20名3分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3</w:t>
            </w:r>
          </w:p>
        </w:tc>
        <w:tc>
          <w:tcPr>
            <w:tcW w:w="1973" w:type="dxa"/>
            <w:vMerge w:val="restart"/>
            <w:tcBorders>
              <w:top w:val="single" w:color="auto" w:sz="6" w:space="0"/>
              <w:left w:val="single" w:color="auto" w:sz="6" w:space="0"/>
              <w:right w:val="single" w:color="auto" w:sz="6" w:space="0"/>
              <w:tl2br w:val="nil"/>
              <w:tr2bl w:val="nil"/>
            </w:tcBorders>
            <w:vAlign w:val="center"/>
          </w:tcPr>
          <w:p>
            <w:pPr>
              <w:shd w:val="clear"/>
              <w:jc w:val="center"/>
              <w:rPr>
                <w:rFonts w:hint="default" w:ascii="宋体" w:hAnsi="宋体" w:cs="Times New Roman"/>
                <w:color w:val="auto"/>
                <w:kern w:val="2"/>
                <w:sz w:val="21"/>
                <w:szCs w:val="21"/>
                <w:shd w:val="clear" w:color="auto" w:fill="auto"/>
                <w:lang w:val="en-US" w:eastAsia="zh-CN" w:bidi="ar-SA"/>
              </w:rPr>
            </w:pPr>
            <w:r>
              <w:rPr>
                <w:rFonts w:hint="eastAsia" w:ascii="宋体" w:hAnsi="宋体" w:cs="Times New Roman"/>
                <w:color w:val="auto"/>
                <w:kern w:val="2"/>
                <w:sz w:val="21"/>
                <w:szCs w:val="21"/>
                <w:shd w:val="clear" w:color="auto" w:fill="auto"/>
                <w:lang w:val="en-US" w:eastAsia="zh-CN" w:bidi="ar-SA"/>
              </w:rPr>
              <w:t>同一竞赛存在多项优良行为的，分值不累计，按最高值计分1次。获得名次不在计分范围内的不计分。</w:t>
            </w:r>
          </w:p>
        </w:tc>
      </w:tr>
      <w:tr>
        <w:tblPrEx>
          <w:tblCellMar>
            <w:top w:w="0" w:type="dxa"/>
            <w:left w:w="108" w:type="dxa"/>
            <w:bottom w:w="0" w:type="dxa"/>
            <w:right w:w="108" w:type="dxa"/>
          </w:tblCellMar>
        </w:tblPrEx>
        <w:trPr>
          <w:gridAfter w:val="1"/>
          <w:wAfter w:w="75" w:type="dxa"/>
          <w:trHeight w:val="1343"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28</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全国职业技能大赛自有工人名次奖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人力资源和社会保障部</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lang w:eastAsia="zh-CN"/>
              </w:rPr>
              <w:t>第</w:t>
            </w:r>
            <w:r>
              <w:rPr>
                <w:rFonts w:hint="eastAsia" w:ascii="宋体" w:hAnsi="宋体"/>
                <w:color w:val="auto"/>
                <w:sz w:val="21"/>
                <w:szCs w:val="21"/>
                <w:shd w:val="clear" w:color="auto" w:fill="auto"/>
                <w:lang w:val="en-US" w:eastAsia="zh-CN"/>
              </w:rPr>
              <w:t>1-3名5分，第4-10名4分，第11-20名3分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3</w:t>
            </w:r>
          </w:p>
        </w:tc>
        <w:tc>
          <w:tcPr>
            <w:tcW w:w="1973" w:type="dxa"/>
            <w:vMerge w:val="continue"/>
            <w:tcBorders>
              <w:left w:val="single" w:color="auto" w:sz="6" w:space="0"/>
              <w:right w:val="single" w:color="auto" w:sz="6" w:space="0"/>
              <w:tl2br w:val="nil"/>
              <w:tr2bl w:val="nil"/>
            </w:tcBorders>
            <w:vAlign w:val="center"/>
          </w:tcPr>
          <w:p>
            <w:pPr>
              <w:shd w:val="clear"/>
              <w:jc w:val="center"/>
              <w:rPr>
                <w:rFonts w:hint="eastAsia" w:ascii="宋体" w:hAnsi="宋体" w:cs="Times New Roman"/>
                <w:color w:val="auto"/>
                <w:kern w:val="2"/>
                <w:sz w:val="21"/>
                <w:szCs w:val="21"/>
                <w:shd w:val="clear" w:color="auto" w:fill="auto"/>
                <w:lang w:val="en-US" w:eastAsia="zh-CN" w:bidi="ar-SA"/>
              </w:rPr>
            </w:pPr>
          </w:p>
        </w:tc>
      </w:tr>
      <w:tr>
        <w:tblPrEx>
          <w:tblCellMar>
            <w:top w:w="0" w:type="dxa"/>
            <w:left w:w="108" w:type="dxa"/>
            <w:bottom w:w="0" w:type="dxa"/>
            <w:right w:w="108" w:type="dxa"/>
          </w:tblCellMar>
        </w:tblPrEx>
        <w:trPr>
          <w:gridAfter w:val="1"/>
          <w:wAfter w:w="75" w:type="dxa"/>
          <w:trHeight w:val="1343"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29</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全国职业技能大赛河南省选拔赛自有工人名次奖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河南省人力资源和社会保障厅</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color w:val="auto"/>
                <w:sz w:val="21"/>
                <w:szCs w:val="21"/>
                <w:shd w:val="clear" w:color="auto" w:fill="auto"/>
                <w:lang w:val="en-US"/>
              </w:rPr>
            </w:pPr>
            <w:r>
              <w:rPr>
                <w:rFonts w:hint="eastAsia" w:ascii="宋体" w:hAnsi="宋体"/>
                <w:color w:val="auto"/>
                <w:sz w:val="21"/>
                <w:szCs w:val="21"/>
                <w:shd w:val="clear" w:color="auto" w:fill="auto"/>
                <w:lang w:eastAsia="zh-CN"/>
              </w:rPr>
              <w:t>第</w:t>
            </w:r>
            <w:r>
              <w:rPr>
                <w:rFonts w:hint="eastAsia" w:ascii="宋体" w:hAnsi="宋体"/>
                <w:color w:val="auto"/>
                <w:sz w:val="21"/>
                <w:szCs w:val="21"/>
                <w:shd w:val="clear" w:color="auto" w:fill="auto"/>
                <w:lang w:val="en-US" w:eastAsia="zh-CN"/>
              </w:rPr>
              <w:t>1名4分，第2-3名3分，第4-5名2分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3</w:t>
            </w:r>
          </w:p>
        </w:tc>
        <w:tc>
          <w:tcPr>
            <w:tcW w:w="1973" w:type="dxa"/>
            <w:vMerge w:val="continue"/>
            <w:tcBorders>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s="Times New Roman"/>
                <w:color w:val="auto"/>
                <w:kern w:val="2"/>
                <w:sz w:val="21"/>
                <w:szCs w:val="21"/>
                <w:shd w:val="clear" w:color="auto" w:fill="auto"/>
                <w:lang w:val="en-US" w:eastAsia="zh-CN" w:bidi="ar-SA"/>
              </w:rPr>
            </w:pPr>
          </w:p>
        </w:tc>
      </w:tr>
      <w:tr>
        <w:tblPrEx>
          <w:tblCellMar>
            <w:top w:w="0" w:type="dxa"/>
            <w:left w:w="108" w:type="dxa"/>
            <w:bottom w:w="0" w:type="dxa"/>
            <w:right w:w="108" w:type="dxa"/>
          </w:tblCellMar>
        </w:tblPrEx>
        <w:trPr>
          <w:gridAfter w:val="1"/>
          <w:wAfter w:w="75" w:type="dxa"/>
          <w:trHeight w:val="1343"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30</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河南省住房和城乡建设系统职业技能竞赛单位或自有工人名次奖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河南省住房和城乡建设厅、河南省建设工会</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lang w:eastAsia="zh-CN"/>
              </w:rPr>
              <w:t>第</w:t>
            </w:r>
            <w:r>
              <w:rPr>
                <w:rFonts w:hint="eastAsia" w:ascii="宋体" w:hAnsi="宋体"/>
                <w:color w:val="auto"/>
                <w:sz w:val="21"/>
                <w:szCs w:val="21"/>
                <w:shd w:val="clear" w:color="auto" w:fill="auto"/>
                <w:lang w:val="en-US" w:eastAsia="zh-CN"/>
              </w:rPr>
              <w:t>1名4分，第2-3名3分，第4-5名2分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3</w:t>
            </w:r>
          </w:p>
        </w:tc>
        <w:tc>
          <w:tcPr>
            <w:tcW w:w="1973" w:type="dxa"/>
            <w:vMerge w:val="restart"/>
            <w:tcBorders>
              <w:top w:val="single" w:color="auto" w:sz="6" w:space="0"/>
              <w:left w:val="single" w:color="auto" w:sz="6" w:space="0"/>
              <w:right w:val="single" w:color="auto" w:sz="6" w:space="0"/>
              <w:tl2br w:val="nil"/>
              <w:tr2bl w:val="nil"/>
            </w:tcBorders>
            <w:vAlign w:val="center"/>
          </w:tcPr>
          <w:p>
            <w:pPr>
              <w:shd w:val="clear"/>
              <w:jc w:val="center"/>
              <w:rPr>
                <w:rFonts w:hint="eastAsia" w:ascii="宋体" w:hAnsi="宋体" w:cs="Times New Roman"/>
                <w:color w:val="auto"/>
                <w:kern w:val="2"/>
                <w:sz w:val="21"/>
                <w:szCs w:val="21"/>
                <w:shd w:val="clear" w:color="auto" w:fill="auto"/>
                <w:lang w:val="en-US" w:eastAsia="zh-CN" w:bidi="ar-SA"/>
              </w:rPr>
            </w:pPr>
            <w:r>
              <w:rPr>
                <w:rFonts w:hint="eastAsia" w:ascii="宋体" w:hAnsi="宋体" w:cs="Times New Roman"/>
                <w:color w:val="auto"/>
                <w:kern w:val="2"/>
                <w:sz w:val="21"/>
                <w:szCs w:val="21"/>
                <w:shd w:val="clear" w:color="auto" w:fill="auto"/>
                <w:lang w:val="en-US" w:eastAsia="zh-CN" w:bidi="ar-SA"/>
              </w:rPr>
              <w:t>同一竞赛存在多项优良行为的，分值不累计，按最高值计分1次。获得名次不在计分范围内的不计分。</w:t>
            </w:r>
          </w:p>
        </w:tc>
      </w:tr>
      <w:tr>
        <w:tblPrEx>
          <w:tblCellMar>
            <w:top w:w="0" w:type="dxa"/>
            <w:left w:w="108" w:type="dxa"/>
            <w:bottom w:w="0" w:type="dxa"/>
            <w:right w:w="108" w:type="dxa"/>
          </w:tblCellMar>
        </w:tblPrEx>
        <w:trPr>
          <w:gridAfter w:val="1"/>
          <w:wAfter w:w="75" w:type="dxa"/>
          <w:trHeight w:val="1343"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31</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河南省职工职业技能大赛单位或自有工人名次奖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河南省总工会、河南省人力资源和社会保障厅</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lang w:eastAsia="zh-CN"/>
              </w:rPr>
              <w:t>第</w:t>
            </w:r>
            <w:r>
              <w:rPr>
                <w:rFonts w:hint="eastAsia" w:ascii="宋体" w:hAnsi="宋体"/>
                <w:color w:val="auto"/>
                <w:sz w:val="21"/>
                <w:szCs w:val="21"/>
                <w:shd w:val="clear" w:color="auto" w:fill="auto"/>
                <w:lang w:val="en-US" w:eastAsia="zh-CN"/>
              </w:rPr>
              <w:t>1名4分，第2-3名3分，第4-5名2分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3</w:t>
            </w:r>
          </w:p>
        </w:tc>
        <w:tc>
          <w:tcPr>
            <w:tcW w:w="1973" w:type="dxa"/>
            <w:vMerge w:val="continue"/>
            <w:tcBorders>
              <w:left w:val="single" w:color="auto" w:sz="6" w:space="0"/>
              <w:right w:val="single" w:color="auto" w:sz="6" w:space="0"/>
              <w:tl2br w:val="nil"/>
              <w:tr2bl w:val="nil"/>
            </w:tcBorders>
            <w:vAlign w:val="center"/>
          </w:tcPr>
          <w:p>
            <w:pPr>
              <w:shd w:val="clear"/>
              <w:jc w:val="center"/>
              <w:rPr>
                <w:rFonts w:hint="eastAsia" w:ascii="宋体" w:hAnsi="宋体" w:cs="Times New Roman"/>
                <w:color w:val="auto"/>
                <w:kern w:val="2"/>
                <w:sz w:val="21"/>
                <w:szCs w:val="21"/>
                <w:shd w:val="clear" w:color="auto" w:fill="auto"/>
                <w:lang w:val="en-US" w:eastAsia="zh-CN" w:bidi="ar-SA"/>
              </w:rPr>
            </w:pPr>
          </w:p>
        </w:tc>
      </w:tr>
      <w:tr>
        <w:tblPrEx>
          <w:tblCellMar>
            <w:top w:w="0" w:type="dxa"/>
            <w:left w:w="108" w:type="dxa"/>
            <w:bottom w:w="0" w:type="dxa"/>
            <w:right w:w="108" w:type="dxa"/>
          </w:tblCellMar>
        </w:tblPrEx>
        <w:trPr>
          <w:gridAfter w:val="1"/>
          <w:wAfter w:w="75" w:type="dxa"/>
          <w:trHeight w:val="1343"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32</w:t>
            </w:r>
            <w:r>
              <w:rPr>
                <w:rFonts w:hint="eastAsia" w:ascii="宋体" w:hAnsi="宋体"/>
                <w:color w:val="auto"/>
                <w:sz w:val="21"/>
                <w:szCs w:val="21"/>
                <w:shd w:val="clear" w:color="auto" w:fill="auto"/>
              </w:rPr>
              <w:t>-1/2/3</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周口市职工职业技能大赛单位或自有工人名次奖</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周口市总工会、周口市人力资源和社会保障局</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eastAsia="zh-CN"/>
              </w:rPr>
              <w:t>第</w:t>
            </w:r>
            <w:r>
              <w:rPr>
                <w:rFonts w:hint="eastAsia" w:ascii="宋体" w:hAnsi="宋体"/>
                <w:color w:val="auto"/>
                <w:sz w:val="21"/>
                <w:szCs w:val="21"/>
                <w:shd w:val="clear" w:color="auto" w:fill="auto"/>
                <w:lang w:val="en-US" w:eastAsia="zh-CN"/>
              </w:rPr>
              <w:t>1名3分，第2-3名2分，第4-5名1分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3</w:t>
            </w:r>
          </w:p>
        </w:tc>
        <w:tc>
          <w:tcPr>
            <w:tcW w:w="1973" w:type="dxa"/>
            <w:vMerge w:val="continue"/>
            <w:tcBorders>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s="Times New Roman"/>
                <w:color w:val="auto"/>
                <w:kern w:val="2"/>
                <w:sz w:val="21"/>
                <w:szCs w:val="21"/>
                <w:shd w:val="clear" w:color="auto" w:fill="auto"/>
                <w:lang w:val="en-US" w:eastAsia="zh-CN" w:bidi="ar-SA"/>
              </w:rPr>
            </w:pPr>
          </w:p>
        </w:tc>
      </w:tr>
      <w:tr>
        <w:tblPrEx>
          <w:tblCellMar>
            <w:top w:w="0" w:type="dxa"/>
            <w:left w:w="108" w:type="dxa"/>
            <w:bottom w:w="0" w:type="dxa"/>
            <w:right w:w="108" w:type="dxa"/>
          </w:tblCellMar>
        </w:tblPrEx>
        <w:trPr>
          <w:gridAfter w:val="1"/>
          <w:wAfter w:w="75" w:type="dxa"/>
          <w:trHeight w:val="1343"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33</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自有工人获得“中原大工匠”称号</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河南省总工会、河南省人力资源和社会保障厅</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5分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color w:val="auto"/>
                <w:sz w:val="21"/>
                <w:szCs w:val="21"/>
                <w:shd w:val="clear" w:color="auto" w:fill="auto"/>
                <w:lang w:val="en-US" w:eastAsia="zh-CN"/>
              </w:rPr>
            </w:pPr>
            <w:r>
              <w:rPr>
                <w:rFonts w:hint="eastAsia" w:ascii="宋体" w:hAnsi="宋体"/>
                <w:color w:val="auto"/>
                <w:sz w:val="21"/>
                <w:szCs w:val="21"/>
                <w:shd w:val="clear" w:color="auto" w:fill="auto"/>
                <w:lang w:val="en-US" w:eastAsia="zh-CN"/>
              </w:rPr>
              <w:t>3</w:t>
            </w:r>
          </w:p>
        </w:tc>
        <w:tc>
          <w:tcPr>
            <w:tcW w:w="1973" w:type="dxa"/>
            <w:vMerge w:val="restart"/>
            <w:tcBorders>
              <w:top w:val="single" w:color="auto" w:sz="6" w:space="0"/>
              <w:left w:val="single" w:color="auto" w:sz="6" w:space="0"/>
              <w:right w:val="single" w:color="auto" w:sz="6" w:space="0"/>
              <w:tl2br w:val="nil"/>
              <w:tr2bl w:val="nil"/>
            </w:tcBorders>
            <w:vAlign w:val="center"/>
          </w:tcPr>
          <w:p>
            <w:pPr>
              <w:shd w:val="clear"/>
              <w:jc w:val="center"/>
              <w:rPr>
                <w:rFonts w:hint="default" w:ascii="宋体" w:hAnsi="宋体" w:cs="Times New Roman"/>
                <w:color w:val="auto"/>
                <w:kern w:val="2"/>
                <w:sz w:val="21"/>
                <w:szCs w:val="21"/>
                <w:shd w:val="clear" w:color="auto" w:fill="auto"/>
                <w:lang w:val="en-US" w:eastAsia="zh-CN" w:bidi="ar-SA"/>
              </w:rPr>
            </w:pPr>
            <w:r>
              <w:rPr>
                <w:rFonts w:hint="eastAsia" w:ascii="宋体" w:hAnsi="宋体" w:cs="Times New Roman"/>
                <w:color w:val="auto"/>
                <w:kern w:val="2"/>
                <w:sz w:val="21"/>
                <w:szCs w:val="21"/>
                <w:shd w:val="clear" w:color="auto" w:fill="auto"/>
                <w:lang w:val="en-US" w:eastAsia="zh-CN" w:bidi="ar-SA"/>
              </w:rPr>
              <w:t>同一批次多名自有工人获得的，每增加1人加1分。</w:t>
            </w:r>
          </w:p>
        </w:tc>
      </w:tr>
      <w:tr>
        <w:tblPrEx>
          <w:tblCellMar>
            <w:top w:w="0" w:type="dxa"/>
            <w:left w:w="108" w:type="dxa"/>
            <w:bottom w:w="0" w:type="dxa"/>
            <w:right w:w="108" w:type="dxa"/>
          </w:tblCellMar>
        </w:tblPrEx>
        <w:trPr>
          <w:gridAfter w:val="1"/>
          <w:wAfter w:w="75" w:type="dxa"/>
          <w:trHeight w:val="1343" w:hRule="atLeast"/>
          <w:jc w:val="center"/>
        </w:trPr>
        <w:tc>
          <w:tcPr>
            <w:tcW w:w="1643"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default" w:ascii="宋体" w:hAnsi="宋体" w:eastAsiaTheme="minorEastAsia" w:cstheme="minorBidi"/>
                <w:color w:val="auto"/>
                <w:kern w:val="2"/>
                <w:sz w:val="21"/>
                <w:szCs w:val="21"/>
                <w:shd w:val="clear" w:color="auto" w:fill="auto"/>
                <w:lang w:val="en-US" w:eastAsia="zh-CN" w:bidi="ar-SA"/>
              </w:rPr>
            </w:pPr>
            <w:r>
              <w:rPr>
                <w:rFonts w:hint="eastAsia" w:ascii="宋体" w:hAnsi="宋体"/>
                <w:color w:val="auto"/>
                <w:sz w:val="21"/>
                <w:szCs w:val="21"/>
                <w:shd w:val="clear" w:color="auto" w:fill="auto"/>
              </w:rPr>
              <w:t>YL</w:t>
            </w:r>
            <w:r>
              <w:rPr>
                <w:rFonts w:hint="eastAsia" w:ascii="宋体" w:hAnsi="宋体"/>
                <w:color w:val="auto"/>
                <w:sz w:val="21"/>
                <w:szCs w:val="21"/>
                <w:shd w:val="clear" w:color="auto" w:fill="auto"/>
                <w:lang w:val="en-US" w:eastAsia="zh-CN"/>
              </w:rPr>
              <w:t>D</w:t>
            </w:r>
            <w:r>
              <w:rPr>
                <w:rFonts w:hint="eastAsia" w:ascii="宋体" w:hAnsi="宋体"/>
                <w:color w:val="auto"/>
                <w:sz w:val="21"/>
                <w:szCs w:val="21"/>
                <w:shd w:val="clear" w:color="auto" w:fill="auto"/>
              </w:rPr>
              <w:t>-</w:t>
            </w:r>
            <w:r>
              <w:rPr>
                <w:rFonts w:hint="eastAsia" w:ascii="宋体" w:hAnsi="宋体"/>
                <w:color w:val="auto"/>
                <w:sz w:val="21"/>
                <w:szCs w:val="21"/>
                <w:shd w:val="clear" w:color="auto" w:fill="auto"/>
                <w:lang w:val="en-US" w:eastAsia="zh-CN"/>
              </w:rPr>
              <w:t>34</w:t>
            </w:r>
            <w:r>
              <w:rPr>
                <w:rFonts w:hint="eastAsia" w:ascii="宋体" w:hAnsi="宋体"/>
                <w:color w:val="auto"/>
                <w:sz w:val="21"/>
                <w:szCs w:val="21"/>
                <w:shd w:val="clear" w:color="auto" w:fill="auto"/>
              </w:rPr>
              <w:t>-1</w:t>
            </w:r>
          </w:p>
        </w:tc>
        <w:tc>
          <w:tcPr>
            <w:tcW w:w="2918"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Theme="minorEastAsia" w:cstheme="minorBidi"/>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自有工人获得“中原城乡建设大工匠”称号</w:t>
            </w:r>
          </w:p>
        </w:tc>
        <w:tc>
          <w:tcPr>
            <w:tcW w:w="2220"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Theme="minorEastAsia" w:cstheme="minorBidi"/>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河南省住房和城乡建设厅</w:t>
            </w:r>
          </w:p>
        </w:tc>
        <w:tc>
          <w:tcPr>
            <w:tcW w:w="3472"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Theme="minorEastAsia" w:cstheme="minorBidi"/>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3分</w:t>
            </w:r>
          </w:p>
        </w:tc>
        <w:tc>
          <w:tcPr>
            <w:tcW w:w="1065" w:type="dxa"/>
            <w:tcBorders>
              <w:top w:val="single" w:color="auto" w:sz="6" w:space="0"/>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eastAsiaTheme="minorEastAsia" w:cstheme="minorBidi"/>
                <w:color w:val="auto"/>
                <w:kern w:val="2"/>
                <w:sz w:val="21"/>
                <w:szCs w:val="21"/>
                <w:shd w:val="clear" w:color="auto" w:fill="auto"/>
                <w:lang w:val="en-US" w:eastAsia="zh-CN" w:bidi="ar-SA"/>
              </w:rPr>
            </w:pPr>
            <w:r>
              <w:rPr>
                <w:rFonts w:hint="eastAsia" w:ascii="宋体" w:hAnsi="宋体"/>
                <w:color w:val="auto"/>
                <w:sz w:val="21"/>
                <w:szCs w:val="21"/>
                <w:shd w:val="clear" w:color="auto" w:fill="auto"/>
                <w:lang w:val="en-US" w:eastAsia="zh-CN"/>
              </w:rPr>
              <w:t>3</w:t>
            </w:r>
          </w:p>
        </w:tc>
        <w:tc>
          <w:tcPr>
            <w:tcW w:w="1973" w:type="dxa"/>
            <w:vMerge w:val="continue"/>
            <w:tcBorders>
              <w:left w:val="single" w:color="auto" w:sz="6" w:space="0"/>
              <w:bottom w:val="single" w:color="auto" w:sz="6" w:space="0"/>
              <w:right w:val="single" w:color="auto" w:sz="6" w:space="0"/>
              <w:tl2br w:val="nil"/>
              <w:tr2bl w:val="nil"/>
            </w:tcBorders>
            <w:vAlign w:val="center"/>
          </w:tcPr>
          <w:p>
            <w:pPr>
              <w:shd w:val="clear"/>
              <w:jc w:val="center"/>
              <w:rPr>
                <w:rFonts w:hint="eastAsia" w:ascii="宋体" w:hAnsi="宋体" w:cs="Times New Roman"/>
                <w:color w:val="auto"/>
                <w:kern w:val="2"/>
                <w:sz w:val="21"/>
                <w:szCs w:val="21"/>
                <w:shd w:val="clear" w:color="auto" w:fill="auto"/>
                <w:lang w:val="en-US" w:eastAsia="zh-CN" w:bidi="ar-SA"/>
              </w:rPr>
            </w:pPr>
          </w:p>
        </w:tc>
      </w:tr>
    </w:tbl>
    <w:p>
      <w:pPr>
        <w:shd w:val="clear"/>
        <w:spacing w:line="360" w:lineRule="auto"/>
        <w:jc w:val="left"/>
        <w:rPr>
          <w:rFonts w:ascii="仿宋" w:hAnsi="仿宋" w:eastAsia="仿宋" w:cs="仿宋"/>
          <w:bCs/>
          <w:color w:val="auto"/>
          <w:kern w:val="0"/>
          <w:sz w:val="21"/>
          <w:szCs w:val="21"/>
          <w:shd w:val="clear" w:color="auto" w:fill="auto"/>
        </w:rPr>
      </w:pPr>
      <w:r>
        <w:rPr>
          <w:rFonts w:hint="eastAsia" w:ascii="宋体" w:hAnsi="宋体"/>
          <w:color w:val="auto"/>
          <w:sz w:val="21"/>
          <w:szCs w:val="21"/>
          <w:shd w:val="clear" w:color="auto" w:fill="auto"/>
        </w:rPr>
        <w:t>说明：1.上述奖项计分周期自通报文书作出之日起计时；</w:t>
      </w:r>
    </w:p>
    <w:p>
      <w:pPr>
        <w:shd w:val="clear"/>
        <w:spacing w:line="360" w:lineRule="auto"/>
        <w:rPr>
          <w:rFonts w:ascii="仿宋" w:hAnsi="仿宋" w:eastAsia="仿宋" w:cs="仿宋"/>
          <w:bCs/>
          <w:color w:val="auto"/>
          <w:kern w:val="0"/>
          <w:sz w:val="21"/>
          <w:szCs w:val="21"/>
          <w:shd w:val="clear" w:color="auto" w:fill="auto"/>
        </w:rPr>
      </w:pPr>
      <w:r>
        <w:rPr>
          <w:rFonts w:hint="eastAsia" w:ascii="宋体" w:hAnsi="宋体"/>
          <w:color w:val="auto"/>
          <w:sz w:val="21"/>
          <w:szCs w:val="21"/>
          <w:shd w:val="clear" w:color="auto" w:fill="auto"/>
        </w:rPr>
        <w:t xml:space="preserve">      2.上述奖项承建单位（含各联合体成员）、参建单位均以通报文书中载明的单位为准；</w:t>
      </w:r>
    </w:p>
    <w:p>
      <w:pPr>
        <w:shd w:val="clear"/>
        <w:spacing w:line="360" w:lineRule="auto"/>
        <w:rPr>
          <w:rFonts w:hint="eastAsia" w:ascii="宋体" w:hAnsi="宋体"/>
          <w:color w:val="auto"/>
          <w:sz w:val="21"/>
          <w:szCs w:val="21"/>
          <w:shd w:val="clear" w:color="auto" w:fill="auto"/>
        </w:rPr>
      </w:pPr>
      <w:r>
        <w:rPr>
          <w:rFonts w:hint="eastAsia" w:ascii="宋体" w:hAnsi="宋体"/>
          <w:color w:val="auto"/>
          <w:sz w:val="21"/>
          <w:szCs w:val="21"/>
          <w:shd w:val="clear" w:color="auto" w:fill="auto"/>
        </w:rPr>
        <w:t xml:space="preserve">      3.同一优良行为获得上述多项奖的，按最高值计分1次。</w:t>
      </w:r>
    </w:p>
    <w:p>
      <w:pPr>
        <w:shd w:val="clear"/>
        <w:spacing w:line="360" w:lineRule="auto"/>
        <w:rPr>
          <w:rFonts w:hint="eastAsia" w:ascii="宋体" w:hAnsi="宋体"/>
          <w:color w:val="auto"/>
          <w:sz w:val="21"/>
          <w:szCs w:val="21"/>
          <w:shd w:val="clear" w:color="auto" w:fill="auto"/>
        </w:rPr>
      </w:pPr>
    </w:p>
    <w:p>
      <w:pPr>
        <w:shd w:val="clear"/>
        <w:spacing w:line="360" w:lineRule="auto"/>
        <w:rPr>
          <w:rFonts w:hint="eastAsia" w:ascii="宋体" w:hAnsi="宋体"/>
          <w:color w:val="auto"/>
          <w:sz w:val="21"/>
          <w:szCs w:val="21"/>
          <w:shd w:val="clear" w:color="auto" w:fill="auto"/>
        </w:rPr>
      </w:pPr>
    </w:p>
    <w:p>
      <w:pPr>
        <w:shd w:val="clear"/>
        <w:rPr>
          <w:rFonts w:hint="eastAsia" w:ascii="宋体" w:hAnsi="宋体"/>
          <w:b/>
          <w:bCs/>
          <w:color w:val="auto"/>
          <w:sz w:val="36"/>
          <w:shd w:val="clear" w:color="auto" w:fill="auto"/>
          <w:lang w:val="en-US" w:eastAsia="zh-CN"/>
        </w:rPr>
      </w:pPr>
      <w:r>
        <w:rPr>
          <w:rFonts w:hint="eastAsia" w:ascii="宋体" w:hAnsi="宋体"/>
          <w:b/>
          <w:bCs/>
          <w:color w:val="auto"/>
          <w:sz w:val="36"/>
          <w:shd w:val="clear" w:color="auto" w:fill="auto"/>
          <w:lang w:val="en-US" w:eastAsia="zh-CN"/>
        </w:rPr>
        <w:br w:type="page"/>
      </w:r>
    </w:p>
    <w:p>
      <w:pPr>
        <w:shd w:val="clear"/>
        <w:spacing w:line="360" w:lineRule="auto"/>
        <w:jc w:val="left"/>
        <w:rPr>
          <w:rFonts w:hint="eastAsia" w:ascii="宋体" w:hAnsi="宋体"/>
          <w:color w:val="auto"/>
          <w:sz w:val="21"/>
          <w:szCs w:val="21"/>
          <w:shd w:val="clear" w:color="auto" w:fill="auto"/>
        </w:rPr>
      </w:pPr>
      <w:r>
        <w:rPr>
          <w:rFonts w:hint="eastAsia" w:ascii="宋体" w:hAnsi="宋体"/>
          <w:b/>
          <w:bCs/>
          <w:color w:val="auto"/>
          <w:sz w:val="36"/>
          <w:shd w:val="clear" w:color="auto" w:fill="auto"/>
          <w:lang w:val="en-US" w:eastAsia="zh-CN"/>
        </w:rPr>
        <w:t>附件2：       周口市</w:t>
      </w:r>
      <w:r>
        <w:rPr>
          <w:rFonts w:hint="eastAsia" w:ascii="宋体" w:hAnsi="宋体"/>
          <w:b/>
          <w:bCs/>
          <w:color w:val="auto"/>
          <w:sz w:val="36"/>
          <w:shd w:val="clear" w:color="auto" w:fill="auto"/>
        </w:rPr>
        <w:t>建筑市场单位信用主体不良行为（BL</w:t>
      </w:r>
      <w:r>
        <w:rPr>
          <w:rFonts w:hint="eastAsia" w:ascii="宋体" w:hAnsi="宋体"/>
          <w:b/>
          <w:bCs/>
          <w:color w:val="auto"/>
          <w:sz w:val="36"/>
          <w:shd w:val="clear" w:color="auto" w:fill="auto"/>
          <w:lang w:val="en-US" w:eastAsia="zh-CN"/>
        </w:rPr>
        <w:t>D</w:t>
      </w:r>
      <w:r>
        <w:rPr>
          <w:rFonts w:hint="eastAsia" w:ascii="宋体" w:hAnsi="宋体"/>
          <w:b/>
          <w:bCs/>
          <w:color w:val="auto"/>
          <w:sz w:val="36"/>
          <w:shd w:val="clear" w:color="auto" w:fill="auto"/>
        </w:rPr>
        <w:t>）减分目录</w:t>
      </w:r>
    </w:p>
    <w:tbl>
      <w:tblPr>
        <w:tblStyle w:val="11"/>
        <w:tblpPr w:leftFromText="180" w:rightFromText="180" w:vertAnchor="text" w:horzAnchor="page" w:tblpX="1872" w:tblpY="704"/>
        <w:tblOverlap w:val="never"/>
        <w:tblW w:w="1317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208"/>
        <w:gridCol w:w="6188"/>
        <w:gridCol w:w="2640"/>
        <w:gridCol w:w="31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8" w:hRule="atLeast"/>
        </w:trPr>
        <w:tc>
          <w:tcPr>
            <w:tcW w:w="120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b/>
                <w:sz w:val="21"/>
                <w:szCs w:val="21"/>
                <w:shd w:val="clear" w:color="auto" w:fill="auto"/>
              </w:rPr>
            </w:pPr>
            <w:r>
              <w:rPr>
                <w:rFonts w:hint="eastAsia" w:asciiTheme="minorEastAsia" w:hAnsiTheme="minorEastAsia" w:eastAsiaTheme="minorEastAsia" w:cstheme="minorEastAsia"/>
                <w:b/>
                <w:sz w:val="21"/>
                <w:szCs w:val="21"/>
                <w:shd w:val="clear" w:color="auto" w:fill="auto"/>
              </w:rPr>
              <w:t>编号</w:t>
            </w:r>
          </w:p>
        </w:tc>
        <w:tc>
          <w:tcPr>
            <w:tcW w:w="618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不良行为</w:t>
            </w:r>
          </w:p>
        </w:tc>
        <w:tc>
          <w:tcPr>
            <w:tcW w:w="2640"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扣分分值</w:t>
            </w:r>
          </w:p>
        </w:tc>
        <w:tc>
          <w:tcPr>
            <w:tcW w:w="3137"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计分周期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3" w:hRule="atLeast"/>
        </w:trPr>
        <w:tc>
          <w:tcPr>
            <w:tcW w:w="120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BLD-1-1</w:t>
            </w:r>
          </w:p>
        </w:tc>
        <w:tc>
          <w:tcPr>
            <w:tcW w:w="618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《周口市建筑市场单位主体信用信息管理管理办法（暂行）》第六条（二）1、2、6、7、8 款所列行为的</w:t>
            </w:r>
          </w:p>
        </w:tc>
        <w:tc>
          <w:tcPr>
            <w:tcW w:w="2640"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列入“黑名单”。“黑名单”管理期满，计分周期内扣 30 分至期满。</w:t>
            </w:r>
          </w:p>
        </w:tc>
        <w:tc>
          <w:tcPr>
            <w:tcW w:w="3137"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以相关行政文书的规定时限为准，未规定时限的按 3 年计时。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3" w:hRule="atLeast"/>
        </w:trPr>
        <w:tc>
          <w:tcPr>
            <w:tcW w:w="120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BLD-2-1</w:t>
            </w:r>
          </w:p>
        </w:tc>
        <w:tc>
          <w:tcPr>
            <w:tcW w:w="618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《周口市建筑市场单位主体信用信息管理管理办法（暂行）》第六条（二）第 3、4、5、9、10、11、12、13、14、16 款所列严重不良行为的</w:t>
            </w:r>
          </w:p>
        </w:tc>
        <w:tc>
          <w:tcPr>
            <w:tcW w:w="2640"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20 分/次</w:t>
            </w:r>
          </w:p>
        </w:tc>
        <w:tc>
          <w:tcPr>
            <w:tcW w:w="3137"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以相关行政文书的规定时限为准，未规定时限的按 3 年计时。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2" w:hRule="atLeast"/>
        </w:trPr>
        <w:tc>
          <w:tcPr>
            <w:tcW w:w="120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w:t>
            </w:r>
            <w:r>
              <w:rPr>
                <w:rFonts w:hint="eastAsia" w:asciiTheme="minorEastAsia" w:hAnsiTheme="minorEastAsia" w:eastAsiaTheme="minorEastAsia" w:cstheme="minorEastAsia"/>
                <w:sz w:val="21"/>
                <w:szCs w:val="21"/>
                <w:shd w:val="clear" w:color="auto" w:fill="auto"/>
                <w:lang w:val="en-US" w:eastAsia="zh-CN"/>
              </w:rPr>
              <w:t>3</w:t>
            </w:r>
            <w:r>
              <w:rPr>
                <w:rFonts w:hint="eastAsia" w:asciiTheme="minorEastAsia" w:hAnsiTheme="minorEastAsia" w:eastAsiaTheme="minorEastAsia" w:cstheme="minorEastAsia"/>
                <w:sz w:val="21"/>
                <w:szCs w:val="21"/>
                <w:shd w:val="clear" w:color="auto" w:fill="auto"/>
              </w:rPr>
              <w:t>-1</w:t>
            </w:r>
          </w:p>
        </w:tc>
        <w:tc>
          <w:tcPr>
            <w:tcW w:w="618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《周口市建筑市场单位主体信用信息管理管理办法（暂行）》第六条（二）第15款所列严重不良行为的</w:t>
            </w:r>
          </w:p>
        </w:tc>
        <w:tc>
          <w:tcPr>
            <w:tcW w:w="2640"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建设单位扣15分，施工单位扣10分，监理扣5分</w:t>
            </w:r>
          </w:p>
        </w:tc>
        <w:tc>
          <w:tcPr>
            <w:tcW w:w="3137"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以相关行政文书的规定时限为准，未规定时限的按 3 年计时。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20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w:t>
            </w:r>
            <w:r>
              <w:rPr>
                <w:rFonts w:hint="eastAsia" w:asciiTheme="minorEastAsia" w:hAnsiTheme="minorEastAsia" w:eastAsiaTheme="minorEastAsia" w:cstheme="minorEastAsia"/>
                <w:sz w:val="21"/>
                <w:szCs w:val="21"/>
                <w:shd w:val="clear" w:color="auto" w:fill="auto"/>
                <w:lang w:val="en-US" w:eastAsia="zh-CN"/>
              </w:rPr>
              <w:t>4</w:t>
            </w:r>
            <w:r>
              <w:rPr>
                <w:rFonts w:hint="eastAsia" w:asciiTheme="minorEastAsia" w:hAnsiTheme="minorEastAsia" w:eastAsiaTheme="minorEastAsia" w:cstheme="minorEastAsia"/>
                <w:sz w:val="21"/>
                <w:szCs w:val="21"/>
                <w:shd w:val="clear" w:color="auto" w:fill="auto"/>
              </w:rPr>
              <w:t>-1/2/3/4</w:t>
            </w:r>
          </w:p>
        </w:tc>
        <w:tc>
          <w:tcPr>
            <w:tcW w:w="618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《周口市建筑市场单位主体信用信息管理管理办法（暂行）》第六条（三）所列一般不良行为的</w:t>
            </w:r>
          </w:p>
        </w:tc>
        <w:tc>
          <w:tcPr>
            <w:tcW w:w="2640"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部级 8 分/次，省级 6 分/次，市级 4 分/次，县级 2 分/次</w:t>
            </w:r>
          </w:p>
        </w:tc>
        <w:tc>
          <w:tcPr>
            <w:tcW w:w="3137"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以相关行政文书的规定时限为准，未规定时限的按 1 年计时。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7" w:hRule="atLeast"/>
        </w:trPr>
        <w:tc>
          <w:tcPr>
            <w:tcW w:w="120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p>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w:t>
            </w:r>
            <w:r>
              <w:rPr>
                <w:rFonts w:hint="eastAsia" w:asciiTheme="minorEastAsia" w:hAnsiTheme="minorEastAsia" w:eastAsiaTheme="minorEastAsia" w:cstheme="minorEastAsia"/>
                <w:sz w:val="21"/>
                <w:szCs w:val="21"/>
                <w:shd w:val="clear" w:color="auto" w:fill="auto"/>
                <w:lang w:val="en-US" w:eastAsia="zh-CN"/>
              </w:rPr>
              <w:t>5</w:t>
            </w:r>
            <w:r>
              <w:rPr>
                <w:rFonts w:hint="eastAsia" w:asciiTheme="minorEastAsia" w:hAnsiTheme="minorEastAsia" w:eastAsiaTheme="minorEastAsia" w:cstheme="minorEastAsia"/>
                <w:sz w:val="21"/>
                <w:szCs w:val="21"/>
                <w:shd w:val="clear" w:color="auto" w:fill="auto"/>
              </w:rPr>
              <w:t>-1/2/3/4</w:t>
            </w:r>
          </w:p>
        </w:tc>
        <w:tc>
          <w:tcPr>
            <w:tcW w:w="6188" w:type="dxa"/>
            <w:tcBorders>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《周口市建筑市场单位主体信用信息管理管理办法（暂行）》第六条（一）所列轻微不良行为的</w:t>
            </w:r>
          </w:p>
        </w:tc>
        <w:tc>
          <w:tcPr>
            <w:tcW w:w="2640" w:type="dxa"/>
            <w:tcBorders>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部级 4 分/次，省级 3 分/次，市级 2 分/次，县级 1 分/次</w:t>
            </w:r>
          </w:p>
        </w:tc>
        <w:tc>
          <w:tcPr>
            <w:tcW w:w="3137" w:type="dxa"/>
            <w:tcBorders>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以相关行政文书的规定时限为准，未规定时限的按 6 个月计时。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6" w:hRule="atLeast"/>
        </w:trPr>
        <w:tc>
          <w:tcPr>
            <w:tcW w:w="120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w:t>
            </w:r>
            <w:r>
              <w:rPr>
                <w:rFonts w:hint="eastAsia" w:asciiTheme="minorEastAsia" w:hAnsiTheme="minorEastAsia" w:eastAsiaTheme="minorEastAsia" w:cstheme="minorEastAsia"/>
                <w:sz w:val="21"/>
                <w:szCs w:val="21"/>
                <w:shd w:val="clear" w:color="auto" w:fill="auto"/>
                <w:lang w:val="en-US" w:eastAsia="zh-CN"/>
              </w:rPr>
              <w:t>6</w:t>
            </w:r>
            <w:r>
              <w:rPr>
                <w:rFonts w:hint="eastAsia" w:asciiTheme="minorEastAsia" w:hAnsiTheme="minorEastAsia" w:eastAsiaTheme="minorEastAsia" w:cstheme="minorEastAsia"/>
                <w:sz w:val="21"/>
                <w:szCs w:val="21"/>
                <w:shd w:val="clear" w:color="auto" w:fill="auto"/>
              </w:rPr>
              <w:t>-1</w:t>
            </w:r>
          </w:p>
        </w:tc>
        <w:tc>
          <w:tcPr>
            <w:tcW w:w="6188"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承建项目发生较大及以上工程质量安全事故的</w:t>
            </w:r>
          </w:p>
        </w:tc>
        <w:tc>
          <w:tcPr>
            <w:tcW w:w="2640"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20 分/起</w:t>
            </w:r>
          </w:p>
        </w:tc>
        <w:tc>
          <w:tcPr>
            <w:tcW w:w="3137"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1 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9" w:hRule="atLeast"/>
        </w:trPr>
        <w:tc>
          <w:tcPr>
            <w:tcW w:w="1208" w:type="dxa"/>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w:t>
            </w:r>
            <w:r>
              <w:rPr>
                <w:rFonts w:hint="eastAsia" w:asciiTheme="minorEastAsia" w:hAnsiTheme="minorEastAsia" w:eastAsiaTheme="minorEastAsia" w:cstheme="minorEastAsia"/>
                <w:sz w:val="21"/>
                <w:szCs w:val="21"/>
                <w:shd w:val="clear" w:color="auto" w:fill="auto"/>
                <w:lang w:val="en-US" w:eastAsia="zh-CN"/>
              </w:rPr>
              <w:t>7</w:t>
            </w:r>
            <w:r>
              <w:rPr>
                <w:rFonts w:hint="eastAsia" w:asciiTheme="minorEastAsia" w:hAnsiTheme="minorEastAsia" w:eastAsiaTheme="minorEastAsia" w:cstheme="minorEastAsia"/>
                <w:sz w:val="21"/>
                <w:szCs w:val="21"/>
                <w:shd w:val="clear" w:color="auto" w:fill="auto"/>
              </w:rPr>
              <w:t>-1</w:t>
            </w:r>
          </w:p>
        </w:tc>
        <w:tc>
          <w:tcPr>
            <w:tcW w:w="6188"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承建项目发生 1 次一般工程质量安全事故，且性质恶劣、危害性严重、社会影响大的</w:t>
            </w:r>
          </w:p>
        </w:tc>
        <w:tc>
          <w:tcPr>
            <w:tcW w:w="2640"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20 分/起</w:t>
            </w:r>
          </w:p>
        </w:tc>
        <w:tc>
          <w:tcPr>
            <w:tcW w:w="3137"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1 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4" w:hRule="atLeast"/>
        </w:trPr>
        <w:tc>
          <w:tcPr>
            <w:tcW w:w="1208" w:type="dxa"/>
            <w:tcBorders>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w:t>
            </w:r>
            <w:r>
              <w:rPr>
                <w:rFonts w:hint="eastAsia" w:asciiTheme="minorEastAsia" w:hAnsiTheme="minorEastAsia" w:eastAsiaTheme="minorEastAsia" w:cstheme="minorEastAsia"/>
                <w:sz w:val="21"/>
                <w:szCs w:val="21"/>
                <w:shd w:val="clear" w:color="auto" w:fill="auto"/>
                <w:lang w:val="en-US" w:eastAsia="zh-CN"/>
              </w:rPr>
              <w:t>8</w:t>
            </w:r>
            <w:r>
              <w:rPr>
                <w:rFonts w:hint="eastAsia" w:asciiTheme="minorEastAsia" w:hAnsiTheme="minorEastAsia" w:eastAsiaTheme="minorEastAsia" w:cstheme="minorEastAsia"/>
                <w:sz w:val="21"/>
                <w:szCs w:val="21"/>
                <w:shd w:val="clear" w:color="auto" w:fill="auto"/>
              </w:rPr>
              <w:t>-1</w:t>
            </w:r>
          </w:p>
        </w:tc>
        <w:tc>
          <w:tcPr>
            <w:tcW w:w="6188"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承建项目发生 1 次一般工程质量安全事故(性质恶劣、危害性严重、社会影响大的除外）</w:t>
            </w:r>
          </w:p>
        </w:tc>
        <w:tc>
          <w:tcPr>
            <w:tcW w:w="2640"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10 分/起</w:t>
            </w:r>
          </w:p>
        </w:tc>
        <w:tc>
          <w:tcPr>
            <w:tcW w:w="3137"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1 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0" w:hRule="atLeast"/>
        </w:trPr>
        <w:tc>
          <w:tcPr>
            <w:tcW w:w="1208"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w:t>
            </w:r>
            <w:r>
              <w:rPr>
                <w:rFonts w:hint="eastAsia" w:asciiTheme="minorEastAsia" w:hAnsiTheme="minorEastAsia" w:eastAsiaTheme="minorEastAsia" w:cstheme="minorEastAsia"/>
                <w:sz w:val="21"/>
                <w:szCs w:val="21"/>
                <w:shd w:val="clear" w:color="auto" w:fill="auto"/>
                <w:lang w:val="en-US" w:eastAsia="zh-CN"/>
              </w:rPr>
              <w:t>9</w:t>
            </w:r>
            <w:r>
              <w:rPr>
                <w:rFonts w:hint="eastAsia" w:asciiTheme="minorEastAsia" w:hAnsiTheme="minorEastAsia" w:eastAsiaTheme="minorEastAsia" w:cstheme="minorEastAsia"/>
                <w:sz w:val="21"/>
                <w:szCs w:val="21"/>
                <w:shd w:val="clear" w:color="auto" w:fill="auto"/>
              </w:rPr>
              <w:t>-1</w:t>
            </w:r>
          </w:p>
        </w:tc>
        <w:tc>
          <w:tcPr>
            <w:tcW w:w="6188" w:type="dxa"/>
            <w:tcBorders>
              <w:top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注册人员社保与单位不一致且不属于不认定挂证情形的</w:t>
            </w:r>
          </w:p>
        </w:tc>
        <w:tc>
          <w:tcPr>
            <w:tcW w:w="2640" w:type="dxa"/>
            <w:tcBorders>
              <w:top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2 分/人次</w:t>
            </w:r>
          </w:p>
        </w:tc>
        <w:tc>
          <w:tcPr>
            <w:tcW w:w="3137" w:type="dxa"/>
            <w:tcBorders>
              <w:top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1 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8" w:hRule="atLeast"/>
        </w:trPr>
        <w:tc>
          <w:tcPr>
            <w:tcW w:w="1208" w:type="dxa"/>
            <w:tcBorders>
              <w:top w:val="single" w:color="000000" w:sz="4" w:space="0"/>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p>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z w:val="21"/>
                <w:szCs w:val="21"/>
                <w:shd w:val="clear" w:color="auto" w:fill="auto"/>
              </w:rPr>
              <w:t>BLD-</w:t>
            </w:r>
            <w:r>
              <w:rPr>
                <w:rFonts w:hint="eastAsia" w:asciiTheme="minorEastAsia" w:hAnsiTheme="minorEastAsia" w:eastAsiaTheme="minorEastAsia" w:cstheme="minorEastAsia"/>
                <w:sz w:val="21"/>
                <w:szCs w:val="21"/>
                <w:shd w:val="clear" w:color="auto" w:fill="auto"/>
                <w:lang w:val="en-US" w:eastAsia="zh-CN"/>
              </w:rPr>
              <w:t>10</w:t>
            </w:r>
            <w:r>
              <w:rPr>
                <w:rFonts w:hint="eastAsia" w:asciiTheme="minorEastAsia" w:hAnsiTheme="minorEastAsia" w:eastAsiaTheme="minorEastAsia" w:cstheme="minorEastAsia"/>
                <w:sz w:val="21"/>
                <w:szCs w:val="21"/>
                <w:shd w:val="clear" w:color="auto" w:fill="auto"/>
              </w:rPr>
              <w:t>-1</w:t>
            </w:r>
          </w:p>
        </w:tc>
        <w:tc>
          <w:tcPr>
            <w:tcW w:w="6188" w:type="dxa"/>
            <w:tcBorders>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sz w:val="21"/>
                <w:szCs w:val="21"/>
                <w:shd w:val="clear" w:color="auto" w:fill="auto"/>
              </w:rPr>
            </w:pPr>
            <w:r>
              <w:rPr>
                <w:rFonts w:hint="eastAsia" w:asciiTheme="minorEastAsia" w:hAnsiTheme="minorEastAsia" w:eastAsiaTheme="minorEastAsia" w:cstheme="minorEastAsia"/>
                <w:spacing w:val="-17"/>
                <w:sz w:val="21"/>
                <w:szCs w:val="21"/>
                <w:shd w:val="clear" w:color="auto" w:fill="auto"/>
              </w:rPr>
              <w:t xml:space="preserve">施工企业年度工程业绩为 </w:t>
            </w:r>
            <w:r>
              <w:rPr>
                <w:rFonts w:hint="eastAsia" w:asciiTheme="minorEastAsia" w:hAnsiTheme="minorEastAsia" w:eastAsiaTheme="minorEastAsia" w:cstheme="minorEastAsia"/>
                <w:sz w:val="21"/>
                <w:szCs w:val="21"/>
                <w:shd w:val="clear" w:color="auto" w:fill="auto"/>
              </w:rPr>
              <w:t>0</w:t>
            </w:r>
            <w:r>
              <w:rPr>
                <w:rFonts w:hint="eastAsia" w:asciiTheme="minorEastAsia" w:hAnsiTheme="minorEastAsia" w:eastAsiaTheme="minorEastAsia" w:cstheme="minorEastAsia"/>
                <w:spacing w:val="-21"/>
                <w:sz w:val="21"/>
                <w:szCs w:val="21"/>
                <w:shd w:val="clear" w:color="auto" w:fill="auto"/>
              </w:rPr>
              <w:t xml:space="preserve"> </w:t>
            </w:r>
            <w:r>
              <w:rPr>
                <w:rFonts w:hint="eastAsia" w:asciiTheme="minorEastAsia" w:hAnsiTheme="minorEastAsia" w:eastAsiaTheme="minorEastAsia" w:cstheme="minorEastAsia"/>
                <w:spacing w:val="-17"/>
                <w:sz w:val="21"/>
                <w:szCs w:val="21"/>
                <w:shd w:val="clear" w:color="auto" w:fill="auto"/>
              </w:rPr>
              <w:t>的</w:t>
            </w:r>
            <w:r>
              <w:rPr>
                <w:rFonts w:hint="eastAsia" w:asciiTheme="minorEastAsia" w:hAnsiTheme="minorEastAsia" w:eastAsiaTheme="minorEastAsia" w:cstheme="minorEastAsia"/>
                <w:spacing w:val="-10"/>
                <w:sz w:val="21"/>
                <w:szCs w:val="21"/>
                <w:shd w:val="clear" w:color="auto" w:fill="auto"/>
              </w:rPr>
              <w:t>（</w:t>
            </w:r>
            <w:r>
              <w:rPr>
                <w:rFonts w:hint="eastAsia" w:asciiTheme="minorEastAsia" w:hAnsiTheme="minorEastAsia" w:eastAsiaTheme="minorEastAsia" w:cstheme="minorEastAsia"/>
                <w:spacing w:val="-12"/>
                <w:sz w:val="21"/>
                <w:szCs w:val="21"/>
                <w:shd w:val="clear" w:color="auto" w:fill="auto"/>
              </w:rPr>
              <w:t>新取得资质当年除外</w:t>
            </w:r>
            <w:r>
              <w:rPr>
                <w:rFonts w:hint="eastAsia" w:asciiTheme="minorEastAsia" w:hAnsiTheme="minorEastAsia" w:eastAsiaTheme="minorEastAsia" w:cstheme="minorEastAsia"/>
                <w:spacing w:val="-16"/>
                <w:sz w:val="21"/>
                <w:szCs w:val="21"/>
                <w:shd w:val="clear" w:color="auto" w:fill="auto"/>
              </w:rPr>
              <w:t>）</w:t>
            </w:r>
            <w:r>
              <w:rPr>
                <w:rFonts w:hint="eastAsia" w:asciiTheme="minorEastAsia" w:hAnsiTheme="minorEastAsia" w:eastAsiaTheme="minorEastAsia" w:cstheme="minorEastAsia"/>
                <w:spacing w:val="-14"/>
                <w:sz w:val="21"/>
                <w:szCs w:val="21"/>
                <w:shd w:val="clear" w:color="auto" w:fill="auto"/>
              </w:rPr>
              <w:t>，招标代理、监理、勘察、</w:t>
            </w:r>
            <w:r>
              <w:rPr>
                <w:rFonts w:hint="eastAsia" w:asciiTheme="minorEastAsia" w:hAnsiTheme="minorEastAsia" w:eastAsiaTheme="minorEastAsia" w:cstheme="minorEastAsia"/>
                <w:spacing w:val="-13"/>
                <w:sz w:val="21"/>
                <w:szCs w:val="21"/>
                <w:shd w:val="clear" w:color="auto" w:fill="auto"/>
              </w:rPr>
              <w:t xml:space="preserve">设计、造价咨询、工程质量检测企业营业收入为 </w:t>
            </w:r>
            <w:r>
              <w:rPr>
                <w:rFonts w:hint="eastAsia" w:asciiTheme="minorEastAsia" w:hAnsiTheme="minorEastAsia" w:eastAsiaTheme="minorEastAsia" w:cstheme="minorEastAsia"/>
                <w:sz w:val="21"/>
                <w:szCs w:val="21"/>
                <w:shd w:val="clear" w:color="auto" w:fill="auto"/>
              </w:rPr>
              <w:t xml:space="preserve">0 </w:t>
            </w:r>
            <w:r>
              <w:rPr>
                <w:rFonts w:hint="eastAsia" w:asciiTheme="minorEastAsia" w:hAnsiTheme="minorEastAsia" w:eastAsiaTheme="minorEastAsia" w:cstheme="minorEastAsia"/>
                <w:spacing w:val="-8"/>
                <w:sz w:val="21"/>
                <w:szCs w:val="21"/>
                <w:shd w:val="clear" w:color="auto" w:fill="auto"/>
              </w:rPr>
              <w:t>的</w:t>
            </w:r>
            <w:r>
              <w:rPr>
                <w:rFonts w:hint="eastAsia" w:asciiTheme="minorEastAsia" w:hAnsiTheme="minorEastAsia" w:eastAsiaTheme="minorEastAsia" w:cstheme="minorEastAsia"/>
                <w:spacing w:val="-10"/>
                <w:sz w:val="21"/>
                <w:szCs w:val="21"/>
                <w:shd w:val="clear" w:color="auto" w:fill="auto"/>
              </w:rPr>
              <w:t>（新取得资质或营业执照当</w:t>
            </w:r>
            <w:r>
              <w:rPr>
                <w:rFonts w:hint="eastAsia" w:asciiTheme="minorEastAsia" w:hAnsiTheme="minorEastAsia" w:eastAsiaTheme="minorEastAsia" w:cstheme="minorEastAsia"/>
                <w:sz w:val="21"/>
                <w:szCs w:val="21"/>
                <w:shd w:val="clear" w:color="auto" w:fill="auto"/>
              </w:rPr>
              <w:t>年除外）。</w:t>
            </w:r>
          </w:p>
        </w:tc>
        <w:tc>
          <w:tcPr>
            <w:tcW w:w="2640" w:type="dxa"/>
            <w:tcBorders>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p>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10 分/次</w:t>
            </w:r>
          </w:p>
        </w:tc>
        <w:tc>
          <w:tcPr>
            <w:tcW w:w="3137" w:type="dxa"/>
            <w:tcBorders>
              <w:bottom w:val="single" w:color="000000" w:sz="4" w:space="0"/>
            </w:tcBorders>
            <w:vAlign w:val="center"/>
          </w:tcPr>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p>
          <w:p>
            <w:pPr>
              <w:pStyle w:val="20"/>
              <w:keepNext w:val="0"/>
              <w:keepLines w:val="0"/>
              <w:pageBreakBefore w:val="0"/>
              <w:widowControl w:val="0"/>
              <w:shd w:val="clear"/>
              <w:kinsoku/>
              <w:wordWrap/>
              <w:overflowPunct/>
              <w:topLinePunct w:val="0"/>
              <w:autoSpaceDE/>
              <w:autoSpaceDN/>
              <w:bidi w:val="0"/>
              <w:adjustRightInd/>
              <w:snapToGrid/>
              <w:spacing w:line="440" w:lineRule="exact"/>
              <w:ind w:left="0" w:right="0"/>
              <w:jc w:val="center"/>
              <w:textAlignment w:val="auto"/>
              <w:rPr>
                <w:rFonts w:hint="eastAsia" w:asciiTheme="minorEastAsia" w:hAnsiTheme="minorEastAsia" w:eastAsiaTheme="minorEastAsia" w:cstheme="minorEastAsia"/>
                <w:color w:val="auto"/>
                <w:kern w:val="2"/>
                <w:sz w:val="21"/>
                <w:szCs w:val="21"/>
                <w:shd w:val="clear" w:color="auto" w:fill="auto"/>
                <w:lang w:val="en-US" w:eastAsia="zh-CN" w:bidi="ar-SA"/>
              </w:rPr>
            </w:pPr>
            <w:r>
              <w:rPr>
                <w:rFonts w:hint="eastAsia" w:asciiTheme="minorEastAsia" w:hAnsiTheme="minorEastAsia" w:eastAsiaTheme="minorEastAsia" w:cstheme="minorEastAsia"/>
                <w:color w:val="auto"/>
                <w:kern w:val="2"/>
                <w:sz w:val="21"/>
                <w:szCs w:val="21"/>
                <w:shd w:val="clear" w:color="auto" w:fill="auto"/>
                <w:lang w:val="en-US" w:eastAsia="zh-CN" w:bidi="ar-SA"/>
              </w:rPr>
              <w:t>2 年</w:t>
            </w:r>
          </w:p>
        </w:tc>
      </w:tr>
    </w:tbl>
    <w:p>
      <w:pPr>
        <w:shd w:val="clear"/>
        <w:spacing w:line="360" w:lineRule="auto"/>
        <w:jc w:val="left"/>
        <w:rPr>
          <w:rFonts w:ascii="仿宋" w:hAnsi="仿宋" w:eastAsia="仿宋" w:cs="仿宋"/>
          <w:bCs/>
          <w:color w:val="auto"/>
          <w:kern w:val="0"/>
          <w:sz w:val="21"/>
          <w:szCs w:val="21"/>
          <w:shd w:val="clear" w:color="auto" w:fill="auto"/>
        </w:rPr>
      </w:pPr>
      <w:r>
        <w:rPr>
          <w:rFonts w:hint="eastAsia" w:ascii="宋体" w:hAnsi="宋体"/>
          <w:color w:val="auto"/>
          <w:sz w:val="21"/>
          <w:szCs w:val="21"/>
          <w:shd w:val="clear" w:color="auto" w:fill="auto"/>
        </w:rPr>
        <w:t>说明：1.上述奖项计分周期自通报文书作出之日起计时；</w:t>
      </w:r>
    </w:p>
    <w:p>
      <w:pPr>
        <w:shd w:val="clear"/>
        <w:spacing w:line="360" w:lineRule="auto"/>
        <w:rPr>
          <w:rFonts w:ascii="仿宋" w:hAnsi="仿宋" w:eastAsia="仿宋" w:cs="仿宋"/>
          <w:bCs/>
          <w:color w:val="auto"/>
          <w:kern w:val="0"/>
          <w:sz w:val="21"/>
          <w:szCs w:val="21"/>
          <w:shd w:val="clear" w:color="auto" w:fill="auto"/>
        </w:rPr>
      </w:pPr>
      <w:r>
        <w:rPr>
          <w:rFonts w:hint="eastAsia" w:ascii="宋体" w:hAnsi="宋体"/>
          <w:color w:val="auto"/>
          <w:sz w:val="21"/>
          <w:szCs w:val="21"/>
          <w:shd w:val="clear" w:color="auto" w:fill="auto"/>
        </w:rPr>
        <w:t xml:space="preserve">      2.上述奖项承建单位（含各联合体成员）、参建单位均以通报文书中载明的单位为准；</w:t>
      </w:r>
    </w:p>
    <w:p>
      <w:pPr>
        <w:shd w:val="clear"/>
        <w:spacing w:line="360" w:lineRule="auto"/>
        <w:rPr>
          <w:rFonts w:hint="eastAsia" w:ascii="宋体" w:hAnsi="宋体"/>
          <w:color w:val="auto"/>
          <w:sz w:val="21"/>
          <w:szCs w:val="21"/>
          <w:shd w:val="clear" w:color="auto" w:fill="auto"/>
        </w:rPr>
      </w:pPr>
      <w:r>
        <w:rPr>
          <w:rFonts w:hint="eastAsia" w:ascii="宋体" w:hAnsi="宋体"/>
          <w:color w:val="auto"/>
          <w:sz w:val="21"/>
          <w:szCs w:val="21"/>
          <w:shd w:val="clear" w:color="auto" w:fill="auto"/>
        </w:rPr>
        <w:t xml:space="preserve">      3.同一优良行为获得上述多项奖的，按最高值计分1次。</w:t>
      </w:r>
    </w:p>
    <w:p>
      <w:pPr>
        <w:shd w:val="clear"/>
        <w:rPr>
          <w:rFonts w:hint="eastAsia" w:ascii="方正小标宋简体" w:hAnsi="方正小标宋简体" w:eastAsia="方正小标宋简体" w:cs="方正小标宋简体"/>
          <w:bCs/>
          <w:color w:val="auto"/>
          <w:kern w:val="0"/>
          <w:sz w:val="28"/>
          <w:szCs w:val="28"/>
          <w:shd w:val="clear" w:color="auto" w:fill="auto"/>
        </w:rPr>
        <w:sectPr>
          <w:pgSz w:w="16838" w:h="11906" w:orient="landscape"/>
          <w:pgMar w:top="1440" w:right="1800" w:bottom="1440" w:left="1800" w:header="851" w:footer="567" w:gutter="0"/>
          <w:pgBorders>
            <w:top w:val="none" w:sz="0" w:space="0"/>
            <w:left w:val="none" w:sz="0" w:space="0"/>
            <w:bottom w:val="none" w:sz="0" w:space="0"/>
            <w:right w:val="none" w:sz="0" w:space="0"/>
          </w:pgBorders>
          <w:pgNumType w:fmt="numberInDash"/>
          <w:cols w:space="720" w:num="1"/>
          <w:docGrid w:type="linesAndChars" w:linePitch="287" w:charSpace="-2374"/>
        </w:sectPr>
      </w:pPr>
      <w:r>
        <w:rPr>
          <w:rFonts w:hint="eastAsia" w:ascii="方正小标宋简体" w:hAnsi="方正小标宋简体" w:eastAsia="方正小标宋简体" w:cs="方正小标宋简体"/>
          <w:bCs/>
          <w:color w:val="auto"/>
          <w:kern w:val="0"/>
          <w:sz w:val="28"/>
          <w:szCs w:val="28"/>
          <w:shd w:val="clear" w:color="auto" w:fill="auto"/>
        </w:rPr>
        <w:br w:type="page"/>
      </w:r>
    </w:p>
    <w:p>
      <w:pPr>
        <w:widowControl/>
        <w:shd w:val="clear"/>
        <w:spacing w:before="100" w:beforeAutospacing="1" w:after="100" w:afterAutospacing="1" w:line="340" w:lineRule="exact"/>
        <w:jc w:val="left"/>
        <w:rPr>
          <w:rFonts w:hint="default" w:ascii="方正小标宋简体" w:hAnsi="方正小标宋简体" w:eastAsia="方正小标宋简体" w:cs="方正小标宋简体"/>
          <w:bCs/>
          <w:color w:val="auto"/>
          <w:kern w:val="0"/>
          <w:sz w:val="28"/>
          <w:szCs w:val="28"/>
          <w:shd w:val="clear" w:color="auto" w:fill="auto"/>
          <w:lang w:val="en-US" w:eastAsia="zh-CN"/>
        </w:rPr>
      </w:pPr>
      <w:r>
        <w:rPr>
          <w:rFonts w:hint="eastAsia" w:ascii="方正小标宋简体" w:hAnsi="方正小标宋简体" w:eastAsia="方正小标宋简体" w:cs="方正小标宋简体"/>
          <w:bCs/>
          <w:color w:val="auto"/>
          <w:kern w:val="0"/>
          <w:sz w:val="28"/>
          <w:szCs w:val="28"/>
          <w:shd w:val="clear" w:color="auto" w:fill="auto"/>
        </w:rPr>
        <w:t>附件</w:t>
      </w:r>
      <w:r>
        <w:rPr>
          <w:rFonts w:hint="eastAsia" w:ascii="方正小标宋简体" w:hAnsi="方正小标宋简体" w:eastAsia="方正小标宋简体" w:cs="方正小标宋简体"/>
          <w:bCs/>
          <w:color w:val="auto"/>
          <w:kern w:val="0"/>
          <w:sz w:val="28"/>
          <w:szCs w:val="28"/>
          <w:shd w:val="clear" w:color="auto" w:fill="auto"/>
          <w:lang w:val="en-US" w:eastAsia="zh-CN"/>
        </w:rPr>
        <w:t>3</w:t>
      </w:r>
    </w:p>
    <w:tbl>
      <w:tblPr>
        <w:tblStyle w:val="11"/>
        <w:tblW w:w="8796" w:type="dxa"/>
        <w:tblInd w:w="0" w:type="dxa"/>
        <w:tblLayout w:type="fixed"/>
        <w:tblCellMar>
          <w:top w:w="0" w:type="dxa"/>
          <w:left w:w="0" w:type="dxa"/>
          <w:bottom w:w="0" w:type="dxa"/>
          <w:right w:w="0" w:type="dxa"/>
        </w:tblCellMar>
      </w:tblPr>
      <w:tblGrid>
        <w:gridCol w:w="586"/>
        <w:gridCol w:w="1035"/>
        <w:gridCol w:w="1950"/>
        <w:gridCol w:w="5225"/>
      </w:tblGrid>
      <w:tr>
        <w:tblPrEx>
          <w:tblCellMar>
            <w:top w:w="0" w:type="dxa"/>
            <w:left w:w="0" w:type="dxa"/>
            <w:bottom w:w="0" w:type="dxa"/>
            <w:right w:w="0" w:type="dxa"/>
          </w:tblCellMar>
        </w:tblPrEx>
        <w:trPr>
          <w:trHeight w:val="460" w:hRule="atLeast"/>
        </w:trPr>
        <w:tc>
          <w:tcPr>
            <w:tcW w:w="8796" w:type="dxa"/>
            <w:gridSpan w:val="4"/>
            <w:tcBorders>
              <w:top w:val="nil"/>
              <w:left w:val="nil"/>
              <w:bottom w:val="nil"/>
              <w:right w:val="nil"/>
            </w:tcBorders>
            <w:shd w:val="clear" w:color="auto" w:fill="auto"/>
            <w:noWrap/>
            <w:tcMar>
              <w:top w:w="10" w:type="dxa"/>
              <w:left w:w="10" w:type="dxa"/>
              <w:right w:w="10" w:type="dxa"/>
            </w:tcMar>
            <w:vAlign w:val="center"/>
          </w:tcPr>
          <w:p>
            <w:pPr>
              <w:widowControl/>
              <w:shd w:val="clear"/>
              <w:jc w:val="center"/>
              <w:textAlignment w:val="center"/>
              <w:rPr>
                <w:rFonts w:ascii="宋体" w:hAnsi="宋体" w:cs="宋体"/>
                <w:color w:val="auto"/>
                <w:sz w:val="36"/>
                <w:szCs w:val="36"/>
                <w:shd w:val="clear" w:color="auto" w:fill="auto"/>
              </w:rPr>
            </w:pPr>
            <w:r>
              <w:rPr>
                <w:rFonts w:hint="eastAsia" w:ascii="宋体" w:hAnsi="宋体" w:cs="宋体"/>
                <w:b/>
                <w:bCs/>
                <w:color w:val="auto"/>
                <w:kern w:val="0"/>
                <w:sz w:val="36"/>
                <w:szCs w:val="36"/>
                <w:shd w:val="clear" w:color="auto" w:fill="auto"/>
                <w:lang w:val="en-US" w:eastAsia="zh-CN"/>
              </w:rPr>
              <w:t>周口市</w:t>
            </w:r>
            <w:r>
              <w:rPr>
                <w:rFonts w:hint="eastAsia" w:ascii="宋体" w:hAnsi="宋体" w:cs="宋体"/>
                <w:b/>
                <w:bCs/>
                <w:color w:val="auto"/>
                <w:kern w:val="0"/>
                <w:sz w:val="36"/>
                <w:szCs w:val="36"/>
                <w:shd w:val="clear" w:color="auto" w:fill="auto"/>
              </w:rPr>
              <w:t>建筑市场信用主体</w:t>
            </w:r>
            <w:r>
              <w:rPr>
                <w:rFonts w:hint="eastAsia" w:ascii="宋体" w:hAnsi="宋体" w:cs="宋体"/>
                <w:b/>
                <w:bCs/>
                <w:color w:val="auto"/>
                <w:kern w:val="0"/>
                <w:sz w:val="36"/>
                <w:szCs w:val="36"/>
                <w:shd w:val="clear" w:color="auto" w:fill="auto"/>
                <w:lang w:eastAsia="zh-CN"/>
              </w:rPr>
              <w:t>工程业绩</w:t>
            </w:r>
            <w:r>
              <w:rPr>
                <w:rFonts w:hint="eastAsia" w:ascii="宋体" w:hAnsi="宋体" w:cs="宋体"/>
                <w:b/>
                <w:bCs/>
                <w:color w:val="auto"/>
                <w:kern w:val="0"/>
                <w:sz w:val="36"/>
                <w:szCs w:val="36"/>
                <w:shd w:val="clear" w:color="auto" w:fill="auto"/>
              </w:rPr>
              <w:t>加分目录</w:t>
            </w:r>
          </w:p>
        </w:tc>
      </w:tr>
      <w:tr>
        <w:tblPrEx>
          <w:tblCellMar>
            <w:top w:w="0" w:type="dxa"/>
            <w:left w:w="0" w:type="dxa"/>
            <w:bottom w:w="0" w:type="dxa"/>
            <w:right w:w="0" w:type="dxa"/>
          </w:tblCellMar>
        </w:tblPrEx>
        <w:trPr>
          <w:trHeight w:val="500" w:hRule="atLeast"/>
        </w:trPr>
        <w:tc>
          <w:tcPr>
            <w:tcW w:w="586"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ascii="宋体" w:hAnsi="宋体" w:cs="宋体"/>
                <w:b/>
                <w:color w:val="auto"/>
                <w:sz w:val="22"/>
                <w:szCs w:val="22"/>
                <w:shd w:val="clear" w:color="auto" w:fill="auto"/>
              </w:rPr>
            </w:pPr>
            <w:r>
              <w:rPr>
                <w:rFonts w:hint="eastAsia" w:ascii="宋体" w:hAnsi="宋体" w:cs="宋体"/>
                <w:b/>
                <w:color w:val="auto"/>
                <w:kern w:val="0"/>
                <w:sz w:val="22"/>
                <w:szCs w:val="22"/>
                <w:shd w:val="clear" w:color="auto" w:fill="auto"/>
              </w:rPr>
              <w:t>序号</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ascii="宋体" w:hAnsi="宋体" w:cs="宋体"/>
                <w:b/>
                <w:color w:val="auto"/>
                <w:sz w:val="22"/>
                <w:szCs w:val="22"/>
                <w:shd w:val="clear" w:color="auto" w:fill="auto"/>
              </w:rPr>
            </w:pPr>
            <w:r>
              <w:rPr>
                <w:rFonts w:hint="eastAsia" w:ascii="宋体" w:hAnsi="宋体" w:cs="宋体"/>
                <w:b/>
                <w:color w:val="auto"/>
                <w:kern w:val="0"/>
                <w:sz w:val="22"/>
                <w:szCs w:val="22"/>
                <w:shd w:val="clear" w:color="auto" w:fill="auto"/>
              </w:rPr>
              <w:t>信用主体类型</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ascii="宋体" w:hAnsi="宋体" w:cs="宋体"/>
                <w:b/>
                <w:color w:val="auto"/>
                <w:sz w:val="22"/>
                <w:szCs w:val="22"/>
                <w:shd w:val="clear" w:color="auto" w:fill="auto"/>
              </w:rPr>
            </w:pPr>
            <w:r>
              <w:rPr>
                <w:rFonts w:hint="eastAsia" w:ascii="宋体" w:hAnsi="宋体" w:cs="宋体"/>
                <w:b/>
                <w:color w:val="auto"/>
                <w:kern w:val="0"/>
                <w:sz w:val="22"/>
                <w:szCs w:val="22"/>
                <w:shd w:val="clear" w:color="auto" w:fill="auto"/>
              </w:rPr>
              <w:t>计分指标</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ascii="宋体" w:hAnsi="宋体" w:cs="宋体"/>
                <w:b/>
                <w:color w:val="auto"/>
                <w:sz w:val="22"/>
                <w:szCs w:val="22"/>
                <w:shd w:val="clear" w:color="auto" w:fill="auto"/>
              </w:rPr>
            </w:pPr>
            <w:r>
              <w:rPr>
                <w:rFonts w:hint="eastAsia" w:ascii="宋体" w:hAnsi="宋体" w:cs="宋体"/>
                <w:b/>
                <w:color w:val="auto"/>
                <w:kern w:val="0"/>
                <w:sz w:val="22"/>
                <w:szCs w:val="22"/>
                <w:shd w:val="clear" w:color="auto" w:fill="auto"/>
              </w:rPr>
              <w:t>分值</w:t>
            </w:r>
          </w:p>
        </w:tc>
      </w:tr>
      <w:tr>
        <w:tblPrEx>
          <w:tblCellMar>
            <w:top w:w="0" w:type="dxa"/>
            <w:left w:w="0" w:type="dxa"/>
            <w:bottom w:w="0" w:type="dxa"/>
            <w:right w:w="0" w:type="dxa"/>
          </w:tblCellMar>
        </w:tblPrEx>
        <w:trPr>
          <w:trHeight w:val="1992" w:hRule="atLeast"/>
        </w:trPr>
        <w:tc>
          <w:tcPr>
            <w:tcW w:w="586"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val="en-US" w:eastAsia="zh-CN"/>
              </w:rPr>
            </w:pPr>
            <w:r>
              <w:rPr>
                <w:rFonts w:hint="eastAsia" w:ascii="宋体" w:hAnsi="宋体" w:cs="宋体"/>
                <w:color w:val="auto"/>
                <w:kern w:val="0"/>
                <w:sz w:val="21"/>
                <w:szCs w:val="21"/>
                <w:shd w:val="clear" w:color="auto" w:fill="auto"/>
                <w:lang w:val="en-US" w:eastAsia="zh-CN"/>
              </w:rPr>
              <w:t>1</w:t>
            </w:r>
          </w:p>
        </w:tc>
        <w:tc>
          <w:tcPr>
            <w:tcW w:w="1035"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勘察设计企业</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上一年度营业收入</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b/>
                <w:color w:val="auto"/>
                <w:kern w:val="0"/>
                <w:sz w:val="22"/>
                <w:szCs w:val="22"/>
                <w:shd w:val="clear" w:color="auto" w:fill="auto"/>
              </w:rPr>
            </w:pPr>
            <w:r>
              <w:rPr>
                <w:rFonts w:hint="eastAsia" w:ascii="宋体" w:hAnsi="宋体" w:cs="宋体"/>
                <w:color w:val="auto"/>
                <w:kern w:val="0"/>
                <w:sz w:val="21"/>
                <w:szCs w:val="21"/>
                <w:shd w:val="clear" w:color="auto" w:fill="auto"/>
              </w:rPr>
              <w:t>最高20分。3亿元（含）以上20分；2亿元（含）以上18分；1亿元（含）以上16分；8000万元（含）以上14分；5000万元（含）以上12分；3000万元（含）以上10分；1000万元（含）以上8分；500万元</w:t>
            </w:r>
            <w:r>
              <w:rPr>
                <w:rFonts w:hint="eastAsia" w:ascii="宋体" w:hAnsi="宋体" w:cs="宋体"/>
                <w:color w:val="auto"/>
                <w:kern w:val="0"/>
                <w:sz w:val="21"/>
                <w:szCs w:val="21"/>
                <w:shd w:val="clear" w:color="auto" w:fill="auto"/>
                <w:lang w:val="en-US" w:eastAsia="zh-CN"/>
              </w:rPr>
              <w:t>(含）</w:t>
            </w:r>
            <w:r>
              <w:rPr>
                <w:rFonts w:hint="eastAsia" w:ascii="宋体" w:hAnsi="宋体" w:cs="宋体"/>
                <w:color w:val="auto"/>
                <w:kern w:val="0"/>
                <w:sz w:val="21"/>
                <w:szCs w:val="21"/>
                <w:shd w:val="clear" w:color="auto" w:fill="auto"/>
              </w:rPr>
              <w:t>以上6分；100万元</w:t>
            </w:r>
            <w:r>
              <w:rPr>
                <w:rFonts w:hint="eastAsia" w:ascii="宋体" w:hAnsi="宋体" w:cs="宋体"/>
                <w:color w:val="auto"/>
                <w:kern w:val="0"/>
                <w:sz w:val="21"/>
                <w:szCs w:val="21"/>
                <w:shd w:val="clear" w:color="auto" w:fill="auto"/>
                <w:lang w:val="en-US" w:eastAsia="zh-CN"/>
              </w:rPr>
              <w:t>(含）</w:t>
            </w:r>
            <w:r>
              <w:rPr>
                <w:rFonts w:hint="eastAsia" w:ascii="宋体" w:hAnsi="宋体" w:cs="宋体"/>
                <w:color w:val="auto"/>
                <w:kern w:val="0"/>
                <w:sz w:val="21"/>
                <w:szCs w:val="21"/>
                <w:shd w:val="clear" w:color="auto" w:fill="auto"/>
              </w:rPr>
              <w:t>以上4分；100万元以下2分；无收入-1</w:t>
            </w:r>
            <w:r>
              <w:rPr>
                <w:rFonts w:ascii="宋体" w:hAnsi="宋体" w:cs="宋体"/>
                <w:color w:val="auto"/>
                <w:kern w:val="0"/>
                <w:sz w:val="21"/>
                <w:szCs w:val="21"/>
                <w:shd w:val="clear" w:color="auto" w:fill="auto"/>
              </w:rPr>
              <w:t>0</w:t>
            </w:r>
            <w:r>
              <w:rPr>
                <w:rFonts w:hint="eastAsia" w:ascii="宋体" w:hAnsi="宋体" w:cs="宋体"/>
                <w:color w:val="auto"/>
                <w:kern w:val="0"/>
                <w:sz w:val="21"/>
                <w:szCs w:val="21"/>
                <w:shd w:val="clear" w:color="auto" w:fill="auto"/>
              </w:rPr>
              <w:t>分（新取得资质当年除外）</w:t>
            </w:r>
          </w:p>
        </w:tc>
      </w:tr>
      <w:tr>
        <w:tblPrEx>
          <w:tblCellMar>
            <w:top w:w="0" w:type="dxa"/>
            <w:left w:w="0" w:type="dxa"/>
            <w:bottom w:w="0" w:type="dxa"/>
            <w:right w:w="0" w:type="dxa"/>
          </w:tblCellMar>
        </w:tblPrEx>
        <w:trPr>
          <w:trHeight w:val="1992" w:hRule="atLeast"/>
        </w:trPr>
        <w:tc>
          <w:tcPr>
            <w:tcW w:w="586"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val="en-US" w:eastAsia="zh-CN"/>
              </w:rPr>
            </w:pPr>
          </w:p>
        </w:tc>
        <w:tc>
          <w:tcPr>
            <w:tcW w:w="1035"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上一年度缴纳税收</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default" w:ascii="宋体" w:hAnsi="宋体" w:cs="宋体" w:eastAsiaTheme="minorEastAsia"/>
                <w:color w:val="auto"/>
                <w:kern w:val="0"/>
                <w:sz w:val="21"/>
                <w:szCs w:val="21"/>
                <w:shd w:val="clear" w:color="auto" w:fill="auto"/>
                <w:lang w:val="en-US" w:eastAsia="zh-CN"/>
              </w:rPr>
            </w:pPr>
            <w:r>
              <w:rPr>
                <w:rFonts w:hint="eastAsia" w:ascii="宋体" w:hAnsi="宋体" w:cs="宋体"/>
                <w:color w:val="auto"/>
                <w:kern w:val="0"/>
                <w:sz w:val="21"/>
                <w:szCs w:val="21"/>
                <w:shd w:val="clear" w:color="auto" w:fill="auto"/>
                <w:lang w:eastAsia="zh-CN"/>
              </w:rPr>
              <w:t>最高</w:t>
            </w:r>
            <w:r>
              <w:rPr>
                <w:rFonts w:hint="eastAsia" w:ascii="宋体" w:hAnsi="宋体" w:cs="宋体"/>
                <w:color w:val="auto"/>
                <w:kern w:val="0"/>
                <w:sz w:val="21"/>
                <w:szCs w:val="21"/>
                <w:shd w:val="clear" w:color="auto" w:fill="auto"/>
                <w:lang w:val="en-US" w:eastAsia="zh-CN"/>
              </w:rPr>
              <w:t>20分。300万元（含）以上20分；200万元（含）以上18分；100万元（含）以上16分；80万元（含）以上14分；50万元（含）以上12分；30万元（含）以上10分；20万元（含）以上8分；10万元（含）以上6分；5万元（含）以上4分；5万元以下2分；无纳税-10分（新取得资质当年、依法抵扣税或免税的除外）</w:t>
            </w:r>
          </w:p>
        </w:tc>
      </w:tr>
      <w:tr>
        <w:tblPrEx>
          <w:tblCellMar>
            <w:top w:w="0" w:type="dxa"/>
            <w:left w:w="0" w:type="dxa"/>
            <w:bottom w:w="0" w:type="dxa"/>
            <w:right w:w="0" w:type="dxa"/>
          </w:tblCellMar>
        </w:tblPrEx>
        <w:trPr>
          <w:trHeight w:val="4977" w:hRule="atLeast"/>
        </w:trPr>
        <w:tc>
          <w:tcPr>
            <w:tcW w:w="586"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default" w:ascii="宋体" w:hAnsi="宋体" w:cs="宋体"/>
                <w:color w:val="auto"/>
                <w:kern w:val="0"/>
                <w:sz w:val="21"/>
                <w:szCs w:val="21"/>
                <w:shd w:val="clear" w:color="auto" w:fill="auto"/>
                <w:lang w:val="en-US" w:eastAsia="zh-CN"/>
              </w:rPr>
            </w:pPr>
            <w:r>
              <w:rPr>
                <w:rFonts w:hint="eastAsia" w:ascii="宋体" w:hAnsi="宋体" w:cs="宋体"/>
                <w:color w:val="auto"/>
                <w:kern w:val="0"/>
                <w:sz w:val="21"/>
                <w:szCs w:val="21"/>
                <w:shd w:val="clear" w:color="auto" w:fill="auto"/>
                <w:lang w:val="en-US" w:eastAsia="zh-CN"/>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施工企业</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上一年度完成建筑业总产值</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keepNext w:val="0"/>
              <w:keepLines w:val="0"/>
              <w:pageBreakBefore w:val="0"/>
              <w:widowControl/>
              <w:shd w:val="clear"/>
              <w:kinsoku/>
              <w:wordWrap/>
              <w:overflowPunct/>
              <w:topLinePunct w:val="0"/>
              <w:autoSpaceDE/>
              <w:autoSpaceDN/>
              <w:bidi w:val="0"/>
              <w:adjustRightInd/>
              <w:snapToGrid/>
              <w:spacing w:line="360" w:lineRule="exact"/>
              <w:jc w:val="left"/>
              <w:textAlignment w:val="center"/>
              <w:rPr>
                <w:rFonts w:ascii="宋体" w:hAnsi="宋体" w:cs="宋体"/>
                <w:color w:val="auto"/>
                <w:kern w:val="0"/>
                <w:sz w:val="21"/>
                <w:szCs w:val="21"/>
                <w:shd w:val="clear" w:color="auto" w:fill="auto"/>
              </w:rPr>
            </w:pPr>
            <w:r>
              <w:rPr>
                <w:rFonts w:hint="eastAsia" w:ascii="宋体" w:hAnsi="宋体" w:cs="宋体"/>
                <w:color w:val="auto"/>
                <w:kern w:val="0"/>
                <w:sz w:val="21"/>
                <w:szCs w:val="21"/>
                <w:shd w:val="clear" w:color="auto" w:fill="auto"/>
              </w:rPr>
              <w:t>最高20分。1.总承包企业：100亿元（含）以上20分；80亿元（含）以上18分；60亿元（含）以上16分；40亿元（含）以上14分；20亿元（含）以上12分；10亿元（含）以上11分；5亿元（含）以上10分；1亿元（含）以上9分；8000万元（含）以上8分；6000万元（含）以上6分；4000万元（含）以上4分；1000万元（含）以上2分；100万元（含）以上1分；100万元以下0.5分；</w:t>
            </w:r>
            <w:r>
              <w:rPr>
                <w:rFonts w:ascii="宋体" w:hAnsi="宋体" w:cs="宋体"/>
                <w:color w:val="auto"/>
                <w:kern w:val="0"/>
                <w:sz w:val="21"/>
                <w:szCs w:val="21"/>
                <w:shd w:val="clear" w:color="auto" w:fill="auto"/>
              </w:rPr>
              <w:t>无</w:t>
            </w:r>
            <w:r>
              <w:rPr>
                <w:rFonts w:hint="eastAsia" w:ascii="宋体" w:hAnsi="宋体" w:cs="宋体"/>
                <w:color w:val="auto"/>
                <w:kern w:val="0"/>
                <w:sz w:val="21"/>
                <w:szCs w:val="21"/>
                <w:shd w:val="clear" w:color="auto" w:fill="auto"/>
              </w:rPr>
              <w:t>产值-1</w:t>
            </w:r>
            <w:r>
              <w:rPr>
                <w:rFonts w:ascii="宋体" w:hAnsi="宋体" w:cs="宋体"/>
                <w:color w:val="auto"/>
                <w:kern w:val="0"/>
                <w:sz w:val="21"/>
                <w:szCs w:val="21"/>
                <w:shd w:val="clear" w:color="auto" w:fill="auto"/>
              </w:rPr>
              <w:t>0分</w:t>
            </w:r>
            <w:r>
              <w:rPr>
                <w:rFonts w:hint="eastAsia" w:ascii="宋体" w:hAnsi="宋体" w:cs="宋体"/>
                <w:color w:val="auto"/>
                <w:kern w:val="0"/>
                <w:sz w:val="21"/>
                <w:szCs w:val="21"/>
                <w:shd w:val="clear" w:color="auto" w:fill="auto"/>
              </w:rPr>
              <w:t>（新取得资质当年除外）。</w:t>
            </w:r>
          </w:p>
          <w:p>
            <w:pPr>
              <w:widowControl/>
              <w:shd w:val="clear"/>
              <w:jc w:val="left"/>
              <w:textAlignment w:val="center"/>
              <w:rPr>
                <w:rFonts w:hint="eastAsia" w:ascii="宋体" w:hAnsi="宋体" w:cs="宋体"/>
                <w:b/>
                <w:color w:val="auto"/>
                <w:kern w:val="0"/>
                <w:sz w:val="22"/>
                <w:szCs w:val="22"/>
                <w:shd w:val="clear" w:color="auto" w:fill="auto"/>
              </w:rPr>
            </w:pPr>
            <w:r>
              <w:rPr>
                <w:rFonts w:hint="eastAsia" w:ascii="宋体" w:hAnsi="宋体" w:cs="宋体"/>
                <w:color w:val="auto"/>
                <w:kern w:val="0"/>
                <w:sz w:val="21"/>
                <w:szCs w:val="21"/>
                <w:shd w:val="clear" w:color="auto" w:fill="auto"/>
              </w:rPr>
              <w:t>2.专业承包企业：10亿元（含）以上20分；5亿元（含）以上15分；1亿元（含）以上10分；5000万元（含）以上8分；3000万元（含）以上6分；1000万元（含）以上4分；500万元（含）以上3分；100万元（含）以上2分；50万元（含）以上1分；50万元以下0.5分；</w:t>
            </w:r>
            <w:r>
              <w:rPr>
                <w:rFonts w:ascii="宋体" w:hAnsi="宋体" w:cs="宋体"/>
                <w:color w:val="auto"/>
                <w:kern w:val="0"/>
                <w:sz w:val="21"/>
                <w:szCs w:val="21"/>
                <w:shd w:val="clear" w:color="auto" w:fill="auto"/>
              </w:rPr>
              <w:t>无</w:t>
            </w:r>
            <w:r>
              <w:rPr>
                <w:rFonts w:hint="eastAsia" w:ascii="宋体" w:hAnsi="宋体" w:cs="宋体"/>
                <w:color w:val="auto"/>
                <w:kern w:val="0"/>
                <w:sz w:val="21"/>
                <w:szCs w:val="21"/>
                <w:shd w:val="clear" w:color="auto" w:fill="auto"/>
              </w:rPr>
              <w:t>产值-1</w:t>
            </w:r>
            <w:r>
              <w:rPr>
                <w:rFonts w:ascii="宋体" w:hAnsi="宋体" w:cs="宋体"/>
                <w:color w:val="auto"/>
                <w:kern w:val="0"/>
                <w:sz w:val="21"/>
                <w:szCs w:val="21"/>
                <w:shd w:val="clear" w:color="auto" w:fill="auto"/>
              </w:rPr>
              <w:t>0分</w:t>
            </w:r>
            <w:r>
              <w:rPr>
                <w:rFonts w:hint="eastAsia" w:ascii="宋体" w:hAnsi="宋体" w:cs="宋体"/>
                <w:color w:val="auto"/>
                <w:kern w:val="0"/>
                <w:sz w:val="21"/>
                <w:szCs w:val="21"/>
                <w:shd w:val="clear" w:color="auto" w:fill="auto"/>
              </w:rPr>
              <w:t>（新取得资质当年除外）</w:t>
            </w:r>
          </w:p>
        </w:tc>
      </w:tr>
      <w:tr>
        <w:tblPrEx>
          <w:tblCellMar>
            <w:top w:w="0" w:type="dxa"/>
            <w:left w:w="0" w:type="dxa"/>
            <w:bottom w:w="0" w:type="dxa"/>
            <w:right w:w="0" w:type="dxa"/>
          </w:tblCellMar>
        </w:tblPrEx>
        <w:trPr>
          <w:trHeight w:val="4977" w:hRule="atLeast"/>
        </w:trPr>
        <w:tc>
          <w:tcPr>
            <w:tcW w:w="586"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val="en-US" w:eastAsia="zh-CN"/>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上一年度缴纳增值税收</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shd w:val="clear" w:color="auto" w:fill="auto"/>
                <w:lang w:val="en-US" w:eastAsia="zh-CN"/>
              </w:rPr>
            </w:pPr>
            <w:r>
              <w:rPr>
                <w:rFonts w:hint="eastAsia"/>
                <w:shd w:val="clear" w:color="auto" w:fill="auto"/>
                <w:lang w:eastAsia="zh-CN"/>
              </w:rPr>
              <w:t>最高</w:t>
            </w:r>
            <w:r>
              <w:rPr>
                <w:rFonts w:hint="eastAsia"/>
                <w:shd w:val="clear" w:color="auto" w:fill="auto"/>
                <w:lang w:val="en-US" w:eastAsia="zh-CN"/>
              </w:rPr>
              <w:t>20分。1.总承包企业：1亿元（含）以上20分；5000万元（含）以上15分；2000万元（含）以上10分；1000万元（含）以上6分；500万元（含）以上4分；100万元（含）以上3分；50万元（含）以上2分；50万元以下1分；无纳税-10分（新取得资质当年、依法抵扣税或免税的除外）</w:t>
            </w:r>
          </w:p>
          <w:p>
            <w:pPr>
              <w:pStyle w:val="2"/>
              <w:shd w:val="clear"/>
              <w:rPr>
                <w:rFonts w:hint="default"/>
                <w:shd w:val="clear" w:color="auto" w:fill="auto"/>
                <w:lang w:val="en-US" w:eastAsia="zh-CN"/>
              </w:rPr>
            </w:pPr>
            <w:r>
              <w:rPr>
                <w:rFonts w:hint="eastAsia" w:ascii="宋体" w:hAnsi="宋体" w:cs="宋体"/>
                <w:color w:val="auto"/>
                <w:kern w:val="0"/>
                <w:sz w:val="21"/>
                <w:szCs w:val="21"/>
                <w:shd w:val="clear" w:color="auto" w:fill="auto"/>
                <w:lang w:val="en-US" w:eastAsia="zh-CN"/>
              </w:rPr>
              <w:t>2.专业承包企业：1000万元（含）以上20分；500万元（含）以上15分；200万元（含）以上10分；100万元（含）以上6分；50万元（含）以上4分；10万元（含）以上3分；5万元（含）以上2分；5万元以下1分；无纳税-10分（新取得资质当年、依法抵扣税或免税的除外）</w:t>
            </w:r>
          </w:p>
        </w:tc>
      </w:tr>
      <w:tr>
        <w:tblPrEx>
          <w:tblCellMar>
            <w:top w:w="0" w:type="dxa"/>
            <w:left w:w="0" w:type="dxa"/>
            <w:bottom w:w="0" w:type="dxa"/>
            <w:right w:w="0" w:type="dxa"/>
          </w:tblCellMar>
        </w:tblPrEx>
        <w:trPr>
          <w:trHeight w:val="2082" w:hRule="atLeast"/>
        </w:trPr>
        <w:tc>
          <w:tcPr>
            <w:tcW w:w="586"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default" w:ascii="宋体" w:hAnsi="宋体" w:cs="宋体"/>
                <w:color w:val="auto"/>
                <w:kern w:val="0"/>
                <w:sz w:val="21"/>
                <w:szCs w:val="21"/>
                <w:shd w:val="clear" w:color="auto" w:fill="auto"/>
                <w:lang w:val="en-US" w:eastAsia="zh-CN"/>
              </w:rPr>
            </w:pPr>
            <w:r>
              <w:rPr>
                <w:rFonts w:hint="eastAsia" w:ascii="宋体" w:hAnsi="宋体" w:cs="宋体"/>
                <w:color w:val="auto"/>
                <w:kern w:val="0"/>
                <w:sz w:val="21"/>
                <w:szCs w:val="21"/>
                <w:shd w:val="clear" w:color="auto" w:fill="auto"/>
                <w:lang w:val="en-US" w:eastAsia="zh-CN"/>
              </w:rPr>
              <w:t>3</w:t>
            </w:r>
          </w:p>
        </w:tc>
        <w:tc>
          <w:tcPr>
            <w:tcW w:w="1035"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监理企业</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上一年度营业收入</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b/>
                <w:color w:val="auto"/>
                <w:kern w:val="0"/>
                <w:sz w:val="22"/>
                <w:szCs w:val="22"/>
                <w:shd w:val="clear" w:color="auto" w:fill="auto"/>
              </w:rPr>
            </w:pPr>
            <w:r>
              <w:rPr>
                <w:rFonts w:hint="eastAsia" w:ascii="宋体" w:hAnsi="宋体" w:cs="宋体"/>
                <w:color w:val="auto"/>
                <w:kern w:val="0"/>
                <w:sz w:val="21"/>
                <w:szCs w:val="21"/>
                <w:shd w:val="clear" w:color="auto" w:fill="auto"/>
              </w:rPr>
              <w:t>最高20分。1亿元（含）以上20分；8000万元（含）以上18分；6000万元（含）以上12分；4000万元（含）以上14分；2000万元（含）以上12分；1000万元（含）以上10分；500万元（含）以上8分；100万元（含）以上6分；50万元（含）以上4分；50万元以下2分；无收入-1</w:t>
            </w:r>
            <w:r>
              <w:rPr>
                <w:rFonts w:ascii="宋体" w:hAnsi="宋体" w:cs="宋体"/>
                <w:color w:val="auto"/>
                <w:kern w:val="0"/>
                <w:sz w:val="21"/>
                <w:szCs w:val="21"/>
                <w:shd w:val="clear" w:color="auto" w:fill="auto"/>
              </w:rPr>
              <w:t>0</w:t>
            </w:r>
            <w:r>
              <w:rPr>
                <w:rFonts w:hint="eastAsia" w:ascii="宋体" w:hAnsi="宋体" w:cs="宋体"/>
                <w:color w:val="auto"/>
                <w:kern w:val="0"/>
                <w:sz w:val="21"/>
                <w:szCs w:val="21"/>
                <w:shd w:val="clear" w:color="auto" w:fill="auto"/>
              </w:rPr>
              <w:t>分（新取得资质当年除外）</w:t>
            </w:r>
          </w:p>
        </w:tc>
      </w:tr>
      <w:tr>
        <w:tblPrEx>
          <w:tblCellMar>
            <w:top w:w="0" w:type="dxa"/>
            <w:left w:w="0" w:type="dxa"/>
            <w:bottom w:w="0" w:type="dxa"/>
            <w:right w:w="0" w:type="dxa"/>
          </w:tblCellMar>
        </w:tblPrEx>
        <w:trPr>
          <w:trHeight w:val="2082" w:hRule="atLeast"/>
        </w:trPr>
        <w:tc>
          <w:tcPr>
            <w:tcW w:w="586"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val="en-US" w:eastAsia="zh-CN"/>
              </w:rPr>
            </w:pPr>
          </w:p>
        </w:tc>
        <w:tc>
          <w:tcPr>
            <w:tcW w:w="1035"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上一年度缴纳税收</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default" w:ascii="宋体" w:hAnsi="宋体" w:cs="宋体" w:eastAsiaTheme="minorEastAsia"/>
                <w:color w:val="auto"/>
                <w:kern w:val="0"/>
                <w:sz w:val="21"/>
                <w:szCs w:val="21"/>
                <w:shd w:val="clear" w:color="auto" w:fill="auto"/>
                <w:lang w:val="en-US" w:eastAsia="zh-CN"/>
              </w:rPr>
            </w:pPr>
            <w:r>
              <w:rPr>
                <w:rFonts w:hint="eastAsia" w:ascii="宋体" w:hAnsi="宋体" w:cs="宋体"/>
                <w:color w:val="auto"/>
                <w:kern w:val="0"/>
                <w:sz w:val="21"/>
                <w:szCs w:val="21"/>
                <w:shd w:val="clear" w:color="auto" w:fill="auto"/>
                <w:lang w:eastAsia="zh-CN"/>
              </w:rPr>
              <w:t>最高</w:t>
            </w:r>
            <w:r>
              <w:rPr>
                <w:rFonts w:hint="eastAsia" w:ascii="宋体" w:hAnsi="宋体" w:cs="宋体"/>
                <w:color w:val="auto"/>
                <w:kern w:val="0"/>
                <w:sz w:val="21"/>
                <w:szCs w:val="21"/>
                <w:shd w:val="clear" w:color="auto" w:fill="auto"/>
                <w:lang w:val="en-US" w:eastAsia="zh-CN"/>
              </w:rPr>
              <w:t>20分。800万元（含）以上20分；600万元（含）以上18分；400万元（含）以上16分；200万元（含）以上14分；100万元（含）以上12分；50万元（含）以上10分；30万元（含）以上8分；10万元（含）以上6分；5万元（含）以上4分；5万元（含）以下2分；无纳税-10分（新取得资质当年、依法抵扣税或免税的除外）</w:t>
            </w:r>
          </w:p>
        </w:tc>
      </w:tr>
      <w:tr>
        <w:tblPrEx>
          <w:tblCellMar>
            <w:top w:w="0" w:type="dxa"/>
            <w:left w:w="0" w:type="dxa"/>
            <w:bottom w:w="0" w:type="dxa"/>
            <w:right w:w="0" w:type="dxa"/>
          </w:tblCellMar>
        </w:tblPrEx>
        <w:trPr>
          <w:trHeight w:val="2082" w:hRule="atLeast"/>
        </w:trPr>
        <w:tc>
          <w:tcPr>
            <w:tcW w:w="586"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default" w:ascii="宋体" w:hAnsi="宋体" w:cs="宋体"/>
                <w:color w:val="auto"/>
                <w:kern w:val="0"/>
                <w:sz w:val="21"/>
                <w:szCs w:val="21"/>
                <w:shd w:val="clear" w:color="auto" w:fill="auto"/>
                <w:lang w:val="en-US" w:eastAsia="zh-CN"/>
              </w:rPr>
            </w:pPr>
            <w:r>
              <w:rPr>
                <w:rFonts w:hint="eastAsia" w:ascii="宋体" w:hAnsi="宋体" w:cs="宋体"/>
                <w:color w:val="auto"/>
                <w:kern w:val="0"/>
                <w:sz w:val="21"/>
                <w:szCs w:val="21"/>
                <w:shd w:val="clear" w:color="auto" w:fill="auto"/>
                <w:lang w:val="en-US" w:eastAsia="zh-CN"/>
              </w:rPr>
              <w:t>4</w:t>
            </w:r>
          </w:p>
        </w:tc>
        <w:tc>
          <w:tcPr>
            <w:tcW w:w="1035"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招标代理企业</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上一年度营业收入</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b/>
                <w:color w:val="auto"/>
                <w:kern w:val="0"/>
                <w:sz w:val="22"/>
                <w:szCs w:val="22"/>
                <w:shd w:val="clear" w:color="auto" w:fill="auto"/>
              </w:rPr>
            </w:pPr>
            <w:r>
              <w:rPr>
                <w:rFonts w:hint="eastAsia" w:ascii="宋体" w:hAnsi="宋体" w:cs="宋体"/>
                <w:color w:val="auto"/>
                <w:kern w:val="0"/>
                <w:sz w:val="21"/>
                <w:szCs w:val="21"/>
                <w:shd w:val="clear" w:color="auto" w:fill="auto"/>
              </w:rPr>
              <w:t>最高20分。400万元（含）以上20分;300万元（含）以上18分;200万元（含）以上16分;100万元（含）以上14分;50万元（含）以上12分;30万元（含）以上10分；20万元（含）以上8分;10万元（含）以上6分;5万元（含）以上4分;5万元以下2分;无收入-1</w:t>
            </w:r>
            <w:r>
              <w:rPr>
                <w:rFonts w:ascii="宋体" w:hAnsi="宋体" w:cs="宋体"/>
                <w:color w:val="auto"/>
                <w:kern w:val="0"/>
                <w:sz w:val="21"/>
                <w:szCs w:val="21"/>
                <w:shd w:val="clear" w:color="auto" w:fill="auto"/>
              </w:rPr>
              <w:t>0</w:t>
            </w:r>
            <w:r>
              <w:rPr>
                <w:rFonts w:hint="eastAsia" w:ascii="宋体" w:hAnsi="宋体" w:cs="宋体"/>
                <w:color w:val="auto"/>
                <w:kern w:val="0"/>
                <w:sz w:val="21"/>
                <w:szCs w:val="21"/>
                <w:shd w:val="clear" w:color="auto" w:fill="auto"/>
              </w:rPr>
              <w:t>分（新取得营业执照当年除外）</w:t>
            </w:r>
          </w:p>
        </w:tc>
      </w:tr>
      <w:tr>
        <w:tblPrEx>
          <w:tblCellMar>
            <w:top w:w="0" w:type="dxa"/>
            <w:left w:w="0" w:type="dxa"/>
            <w:bottom w:w="0" w:type="dxa"/>
            <w:right w:w="0" w:type="dxa"/>
          </w:tblCellMar>
        </w:tblPrEx>
        <w:trPr>
          <w:trHeight w:val="2082" w:hRule="atLeast"/>
        </w:trPr>
        <w:tc>
          <w:tcPr>
            <w:tcW w:w="586"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val="en-US" w:eastAsia="zh-CN"/>
              </w:rPr>
            </w:pPr>
          </w:p>
        </w:tc>
        <w:tc>
          <w:tcPr>
            <w:tcW w:w="1035"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上一年度缴纳税收</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default" w:ascii="宋体" w:hAnsi="宋体" w:cs="宋体" w:eastAsiaTheme="minorEastAsia"/>
                <w:color w:val="auto"/>
                <w:kern w:val="0"/>
                <w:sz w:val="21"/>
                <w:szCs w:val="21"/>
                <w:shd w:val="clear" w:color="auto" w:fill="auto"/>
                <w:lang w:val="en-US" w:eastAsia="zh-CN"/>
              </w:rPr>
            </w:pPr>
            <w:r>
              <w:rPr>
                <w:rFonts w:hint="eastAsia" w:ascii="宋体" w:hAnsi="宋体" w:cs="宋体"/>
                <w:color w:val="auto"/>
                <w:kern w:val="0"/>
                <w:sz w:val="21"/>
                <w:szCs w:val="21"/>
                <w:shd w:val="clear" w:color="auto" w:fill="auto"/>
                <w:lang w:eastAsia="zh-CN"/>
              </w:rPr>
              <w:t>最高</w:t>
            </w:r>
            <w:r>
              <w:rPr>
                <w:rFonts w:hint="eastAsia" w:ascii="宋体" w:hAnsi="宋体" w:cs="宋体"/>
                <w:color w:val="auto"/>
                <w:kern w:val="0"/>
                <w:sz w:val="21"/>
                <w:szCs w:val="21"/>
                <w:shd w:val="clear" w:color="auto" w:fill="auto"/>
                <w:lang w:val="en-US" w:eastAsia="zh-CN"/>
              </w:rPr>
              <w:t>20分。100万元（含）以上20分；90万元（含）以上18分；80万元（含）以上16分；70万元（含）以上14分；60万元（含）以上12分；50万元（含）以上10分；40万元（含）以上8分；30万元（含）以上6分；10万元（含）以上4分；10万元以下2分；无纳税-10分（新取得营业执照当年、依法抵扣税或免税的除外）</w:t>
            </w:r>
          </w:p>
        </w:tc>
      </w:tr>
      <w:tr>
        <w:tblPrEx>
          <w:tblCellMar>
            <w:top w:w="0" w:type="dxa"/>
            <w:left w:w="0" w:type="dxa"/>
            <w:bottom w:w="0" w:type="dxa"/>
            <w:right w:w="0" w:type="dxa"/>
          </w:tblCellMar>
        </w:tblPrEx>
        <w:trPr>
          <w:trHeight w:val="740" w:hRule="atLeast"/>
        </w:trPr>
        <w:tc>
          <w:tcPr>
            <w:tcW w:w="586"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default" w:ascii="宋体" w:hAnsi="宋体" w:cs="宋体"/>
                <w:color w:val="auto"/>
                <w:kern w:val="0"/>
                <w:sz w:val="21"/>
                <w:szCs w:val="21"/>
                <w:shd w:val="clear" w:color="auto" w:fill="auto"/>
                <w:lang w:val="en-US" w:eastAsia="zh-CN"/>
              </w:rPr>
            </w:pPr>
            <w:r>
              <w:rPr>
                <w:rFonts w:hint="eastAsia" w:ascii="宋体" w:hAnsi="宋体" w:cs="宋体"/>
                <w:color w:val="auto"/>
                <w:kern w:val="0"/>
                <w:sz w:val="21"/>
                <w:szCs w:val="21"/>
                <w:shd w:val="clear" w:color="auto" w:fill="auto"/>
                <w:lang w:val="en-US" w:eastAsia="zh-CN"/>
              </w:rPr>
              <w:t>5</w:t>
            </w:r>
          </w:p>
        </w:tc>
        <w:tc>
          <w:tcPr>
            <w:tcW w:w="1035"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工程造价咨询企业</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rPr>
            </w:pPr>
            <w:r>
              <w:rPr>
                <w:rFonts w:hint="eastAsia" w:ascii="宋体" w:hAnsi="宋体" w:cs="宋体"/>
                <w:color w:val="auto"/>
                <w:kern w:val="0"/>
                <w:sz w:val="21"/>
                <w:szCs w:val="21"/>
                <w:shd w:val="clear" w:color="auto" w:fill="auto"/>
                <w:lang w:eastAsia="zh-CN"/>
              </w:rPr>
              <w:t>上一年度营业收入</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default" w:ascii="宋体" w:hAnsi="宋体" w:cs="宋体"/>
                <w:b/>
                <w:color w:val="auto"/>
                <w:kern w:val="0"/>
                <w:sz w:val="22"/>
                <w:szCs w:val="22"/>
                <w:shd w:val="clear" w:color="auto" w:fill="auto"/>
                <w:lang w:val="en-US"/>
              </w:rPr>
            </w:pPr>
            <w:r>
              <w:rPr>
                <w:rFonts w:hint="eastAsia" w:asciiTheme="minorEastAsia" w:hAnsiTheme="minorEastAsia" w:eastAsiaTheme="minorEastAsia" w:cstheme="minorEastAsia"/>
                <w:color w:val="auto"/>
                <w:sz w:val="21"/>
                <w:szCs w:val="21"/>
                <w:shd w:val="clear" w:color="auto" w:fill="auto"/>
              </w:rPr>
              <w:t>最高20分。</w:t>
            </w:r>
            <w:r>
              <w:rPr>
                <w:rFonts w:hint="eastAsia" w:asciiTheme="minorEastAsia" w:hAnsiTheme="minorEastAsia" w:cstheme="minorEastAsia"/>
                <w:color w:val="auto"/>
                <w:sz w:val="21"/>
                <w:szCs w:val="21"/>
                <w:shd w:val="clear" w:color="auto" w:fill="auto"/>
                <w:lang w:val="en-US" w:eastAsia="zh-CN"/>
              </w:rPr>
              <w:t>5</w:t>
            </w:r>
            <w:r>
              <w:rPr>
                <w:rFonts w:hint="eastAsia" w:asciiTheme="minorEastAsia" w:hAnsiTheme="minorEastAsia" w:eastAsiaTheme="minorEastAsia" w:cstheme="minorEastAsia"/>
                <w:color w:val="auto"/>
                <w:sz w:val="21"/>
                <w:szCs w:val="21"/>
                <w:shd w:val="clear" w:color="auto" w:fill="auto"/>
              </w:rPr>
              <w:t xml:space="preserve">000万（含）以上20分； </w:t>
            </w:r>
            <w:r>
              <w:rPr>
                <w:rFonts w:hint="eastAsia" w:asciiTheme="minorEastAsia" w:hAnsiTheme="minorEastAsia" w:cstheme="minorEastAsia"/>
                <w:color w:val="auto"/>
                <w:sz w:val="21"/>
                <w:szCs w:val="21"/>
                <w:shd w:val="clear" w:color="auto" w:fill="auto"/>
                <w:lang w:val="en-US" w:eastAsia="zh-CN"/>
              </w:rPr>
              <w:t>3000</w:t>
            </w:r>
            <w:r>
              <w:rPr>
                <w:rFonts w:hint="eastAsia" w:asciiTheme="minorEastAsia" w:hAnsiTheme="minorEastAsia" w:eastAsiaTheme="minorEastAsia" w:cstheme="minorEastAsia"/>
                <w:color w:val="auto"/>
                <w:sz w:val="21"/>
                <w:szCs w:val="21"/>
                <w:shd w:val="clear" w:color="auto" w:fill="auto"/>
              </w:rPr>
              <w:t>万（含）以上1</w:t>
            </w:r>
            <w:r>
              <w:rPr>
                <w:rFonts w:hint="eastAsia" w:asciiTheme="minorEastAsia" w:hAnsiTheme="minorEastAsia" w:cstheme="minorEastAsia"/>
                <w:color w:val="auto"/>
                <w:sz w:val="21"/>
                <w:szCs w:val="21"/>
                <w:shd w:val="clear" w:color="auto" w:fill="auto"/>
                <w:lang w:val="en-US" w:eastAsia="zh-CN"/>
              </w:rPr>
              <w:t>8</w:t>
            </w:r>
            <w:r>
              <w:rPr>
                <w:rFonts w:hint="eastAsia" w:asciiTheme="minorEastAsia" w:hAnsiTheme="minorEastAsia" w:eastAsiaTheme="minorEastAsia" w:cstheme="minorEastAsia"/>
                <w:color w:val="auto"/>
                <w:sz w:val="21"/>
                <w:szCs w:val="21"/>
                <w:shd w:val="clear" w:color="auto" w:fill="auto"/>
              </w:rPr>
              <w:t xml:space="preserve">分； </w:t>
            </w:r>
            <w:r>
              <w:rPr>
                <w:rFonts w:hint="eastAsia" w:asciiTheme="minorEastAsia" w:hAnsiTheme="minorEastAsia" w:cstheme="minorEastAsia"/>
                <w:color w:val="auto"/>
                <w:sz w:val="21"/>
                <w:szCs w:val="21"/>
                <w:shd w:val="clear" w:color="auto" w:fill="auto"/>
                <w:lang w:val="en-US" w:eastAsia="zh-CN"/>
              </w:rPr>
              <w:t>1000</w:t>
            </w:r>
            <w:r>
              <w:rPr>
                <w:rFonts w:hint="eastAsia" w:asciiTheme="minorEastAsia" w:hAnsiTheme="minorEastAsia" w:eastAsiaTheme="minorEastAsia" w:cstheme="minorEastAsia"/>
                <w:color w:val="auto"/>
                <w:sz w:val="21"/>
                <w:szCs w:val="21"/>
                <w:shd w:val="clear" w:color="auto" w:fill="auto"/>
              </w:rPr>
              <w:t>万（含）以上1</w:t>
            </w:r>
            <w:r>
              <w:rPr>
                <w:rFonts w:hint="eastAsia" w:asciiTheme="minorEastAsia" w:hAnsiTheme="minorEastAsia" w:cstheme="minorEastAsia"/>
                <w:color w:val="auto"/>
                <w:sz w:val="21"/>
                <w:szCs w:val="21"/>
                <w:shd w:val="clear" w:color="auto" w:fill="auto"/>
                <w:lang w:val="en-US" w:eastAsia="zh-CN"/>
              </w:rPr>
              <w:t>6</w:t>
            </w:r>
            <w:r>
              <w:rPr>
                <w:rFonts w:hint="eastAsia" w:asciiTheme="minorEastAsia" w:hAnsiTheme="minorEastAsia" w:eastAsiaTheme="minorEastAsia" w:cstheme="minorEastAsia"/>
                <w:color w:val="auto"/>
                <w:sz w:val="21"/>
                <w:szCs w:val="21"/>
                <w:shd w:val="clear" w:color="auto" w:fill="auto"/>
              </w:rPr>
              <w:t xml:space="preserve">分； </w:t>
            </w:r>
            <w:r>
              <w:rPr>
                <w:rFonts w:hint="eastAsia" w:asciiTheme="minorEastAsia" w:hAnsiTheme="minorEastAsia" w:cstheme="minorEastAsia"/>
                <w:color w:val="auto"/>
                <w:sz w:val="21"/>
                <w:szCs w:val="21"/>
                <w:shd w:val="clear" w:color="auto" w:fill="auto"/>
                <w:lang w:val="en-US" w:eastAsia="zh-CN"/>
              </w:rPr>
              <w:t>800</w:t>
            </w:r>
            <w:r>
              <w:rPr>
                <w:rFonts w:hint="eastAsia" w:asciiTheme="minorEastAsia" w:hAnsiTheme="minorEastAsia" w:eastAsiaTheme="minorEastAsia" w:cstheme="minorEastAsia"/>
                <w:color w:val="auto"/>
                <w:sz w:val="21"/>
                <w:szCs w:val="21"/>
                <w:shd w:val="clear" w:color="auto" w:fill="auto"/>
              </w:rPr>
              <w:t>万（含）</w:t>
            </w:r>
            <w:r>
              <w:rPr>
                <w:rFonts w:hint="eastAsia" w:asciiTheme="minorEastAsia" w:hAnsiTheme="minorEastAsia" w:cstheme="minorEastAsia"/>
                <w:color w:val="auto"/>
                <w:sz w:val="21"/>
                <w:szCs w:val="21"/>
                <w:shd w:val="clear" w:color="auto" w:fill="auto"/>
                <w:lang w:eastAsia="zh-CN"/>
              </w:rPr>
              <w:t>以上</w:t>
            </w:r>
            <w:r>
              <w:rPr>
                <w:rFonts w:hint="eastAsia" w:asciiTheme="minorEastAsia" w:hAnsiTheme="minorEastAsia" w:cstheme="minorEastAsia"/>
                <w:color w:val="auto"/>
                <w:sz w:val="21"/>
                <w:szCs w:val="21"/>
                <w:shd w:val="clear" w:color="auto" w:fill="auto"/>
                <w:lang w:val="en-US" w:eastAsia="zh-CN"/>
              </w:rPr>
              <w:t>14</w:t>
            </w:r>
            <w:r>
              <w:rPr>
                <w:rFonts w:hint="eastAsia" w:asciiTheme="minorEastAsia" w:hAnsiTheme="minorEastAsia" w:eastAsiaTheme="minorEastAsia" w:cstheme="minorEastAsia"/>
                <w:color w:val="auto"/>
                <w:sz w:val="21"/>
                <w:szCs w:val="21"/>
                <w:shd w:val="clear" w:color="auto" w:fill="auto"/>
              </w:rPr>
              <w:t>分；</w:t>
            </w:r>
            <w:r>
              <w:rPr>
                <w:rFonts w:hint="eastAsia" w:asciiTheme="minorEastAsia" w:hAnsiTheme="minorEastAsia" w:cstheme="minorEastAsia"/>
                <w:color w:val="auto"/>
                <w:sz w:val="21"/>
                <w:szCs w:val="21"/>
                <w:shd w:val="clear" w:color="auto" w:fill="auto"/>
                <w:lang w:val="en-US" w:eastAsia="zh-CN"/>
              </w:rPr>
              <w:t>600</w:t>
            </w:r>
            <w:r>
              <w:rPr>
                <w:rFonts w:hint="eastAsia" w:asciiTheme="minorEastAsia" w:hAnsiTheme="minorEastAsia" w:eastAsiaTheme="minorEastAsia" w:cstheme="minorEastAsia"/>
                <w:color w:val="auto"/>
                <w:sz w:val="21"/>
                <w:szCs w:val="21"/>
                <w:shd w:val="clear" w:color="auto" w:fill="auto"/>
              </w:rPr>
              <w:t>万</w:t>
            </w:r>
            <w:r>
              <w:rPr>
                <w:rFonts w:hint="eastAsia" w:asciiTheme="minorEastAsia" w:hAnsiTheme="minorEastAsia" w:cstheme="minorEastAsia"/>
                <w:color w:val="auto"/>
                <w:sz w:val="21"/>
                <w:szCs w:val="21"/>
                <w:shd w:val="clear" w:color="auto" w:fill="auto"/>
                <w:lang w:eastAsia="zh-CN"/>
              </w:rPr>
              <w:t>（含）以上</w:t>
            </w:r>
            <w:r>
              <w:rPr>
                <w:rFonts w:hint="eastAsia" w:asciiTheme="minorEastAsia" w:hAnsiTheme="minorEastAsia" w:cstheme="minorEastAsia"/>
                <w:color w:val="auto"/>
                <w:sz w:val="21"/>
                <w:szCs w:val="21"/>
                <w:shd w:val="clear" w:color="auto" w:fill="auto"/>
                <w:lang w:val="en-US" w:eastAsia="zh-CN"/>
              </w:rPr>
              <w:t>12分；400万（含）以上10分；200万（含）以上8分；200万以下6分；无收入-10分（新取得资质当年除外）</w:t>
            </w:r>
          </w:p>
        </w:tc>
      </w:tr>
      <w:tr>
        <w:tblPrEx>
          <w:tblCellMar>
            <w:top w:w="0" w:type="dxa"/>
            <w:left w:w="0" w:type="dxa"/>
            <w:bottom w:w="0" w:type="dxa"/>
            <w:right w:w="0" w:type="dxa"/>
          </w:tblCellMar>
        </w:tblPrEx>
        <w:trPr>
          <w:trHeight w:val="740" w:hRule="atLeast"/>
        </w:trPr>
        <w:tc>
          <w:tcPr>
            <w:tcW w:w="586"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val="en-US" w:eastAsia="zh-CN"/>
              </w:rPr>
            </w:pPr>
          </w:p>
        </w:tc>
        <w:tc>
          <w:tcPr>
            <w:tcW w:w="1035"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上一年度缴纳税收</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default" w:asciiTheme="minorEastAsia" w:hAnsiTheme="minorEastAsia" w:eastAsiaTheme="minorEastAsia" w:cstheme="minorEastAsia"/>
                <w:color w:val="auto"/>
                <w:sz w:val="21"/>
                <w:szCs w:val="21"/>
                <w:shd w:val="clear" w:color="auto" w:fill="auto"/>
                <w:lang w:val="en-US" w:eastAsia="zh-CN"/>
              </w:rPr>
            </w:pPr>
            <w:r>
              <w:rPr>
                <w:rFonts w:hint="eastAsia" w:asciiTheme="minorEastAsia" w:hAnsiTheme="minorEastAsia" w:cstheme="minorEastAsia"/>
                <w:color w:val="auto"/>
                <w:sz w:val="21"/>
                <w:szCs w:val="21"/>
                <w:shd w:val="clear" w:color="auto" w:fill="auto"/>
                <w:lang w:eastAsia="zh-CN"/>
              </w:rPr>
              <w:t>最高</w:t>
            </w:r>
            <w:r>
              <w:rPr>
                <w:rFonts w:hint="eastAsia" w:asciiTheme="minorEastAsia" w:hAnsiTheme="minorEastAsia" w:cstheme="minorEastAsia"/>
                <w:color w:val="auto"/>
                <w:sz w:val="21"/>
                <w:szCs w:val="21"/>
                <w:shd w:val="clear" w:color="auto" w:fill="auto"/>
                <w:lang w:val="en-US" w:eastAsia="zh-CN"/>
              </w:rPr>
              <w:t>20分。100万元（含）以上20分；60万元以上（含）16分；30万元（含）以上12分；10万元（含）6分；10万元（不含）以下2分，无纳税-10分（新取得资质当年、依法抵扣税或免税的除外）</w:t>
            </w:r>
          </w:p>
        </w:tc>
      </w:tr>
      <w:tr>
        <w:tblPrEx>
          <w:tblCellMar>
            <w:top w:w="0" w:type="dxa"/>
            <w:left w:w="0" w:type="dxa"/>
            <w:bottom w:w="0" w:type="dxa"/>
            <w:right w:w="0" w:type="dxa"/>
          </w:tblCellMar>
        </w:tblPrEx>
        <w:trPr>
          <w:trHeight w:val="500" w:hRule="atLeast"/>
        </w:trPr>
        <w:tc>
          <w:tcPr>
            <w:tcW w:w="586"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default" w:ascii="宋体" w:hAnsi="宋体" w:cs="宋体"/>
                <w:color w:val="auto"/>
                <w:kern w:val="0"/>
                <w:sz w:val="21"/>
                <w:szCs w:val="21"/>
                <w:shd w:val="clear" w:color="auto" w:fill="auto"/>
                <w:lang w:val="en-US" w:eastAsia="zh-CN"/>
              </w:rPr>
            </w:pPr>
            <w:r>
              <w:rPr>
                <w:rFonts w:hint="eastAsia" w:ascii="宋体" w:hAnsi="宋体" w:cs="宋体"/>
                <w:color w:val="auto"/>
                <w:kern w:val="0"/>
                <w:sz w:val="21"/>
                <w:szCs w:val="21"/>
                <w:shd w:val="clear" w:color="auto" w:fill="auto"/>
                <w:lang w:val="en-US" w:eastAsia="zh-CN"/>
              </w:rPr>
              <w:t>6</w:t>
            </w:r>
          </w:p>
        </w:tc>
        <w:tc>
          <w:tcPr>
            <w:tcW w:w="1035" w:type="dxa"/>
            <w:vMerge w:val="restart"/>
            <w:tcBorders>
              <w:top w:val="single" w:color="000000" w:sz="4" w:space="0"/>
              <w:left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工程质量检测企业</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rPr>
            </w:pPr>
            <w:r>
              <w:rPr>
                <w:rFonts w:hint="eastAsia" w:ascii="宋体" w:hAnsi="宋体" w:cs="宋体"/>
                <w:color w:val="auto"/>
                <w:kern w:val="0"/>
                <w:sz w:val="21"/>
                <w:szCs w:val="21"/>
                <w:shd w:val="clear" w:color="auto" w:fill="auto"/>
                <w:lang w:eastAsia="zh-CN"/>
              </w:rPr>
              <w:t>上一年度营业收入</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b/>
                <w:color w:val="auto"/>
                <w:kern w:val="0"/>
                <w:sz w:val="22"/>
                <w:szCs w:val="22"/>
                <w:shd w:val="clear" w:color="auto" w:fill="auto"/>
              </w:rPr>
            </w:pPr>
            <w:r>
              <w:rPr>
                <w:rFonts w:hint="eastAsia" w:asciiTheme="minorEastAsia" w:hAnsiTheme="minorEastAsia" w:eastAsiaTheme="minorEastAsia" w:cstheme="minorEastAsia"/>
                <w:color w:val="auto"/>
                <w:sz w:val="21"/>
                <w:szCs w:val="21"/>
                <w:shd w:val="clear" w:color="auto" w:fill="auto"/>
              </w:rPr>
              <w:t>最高20分。</w:t>
            </w:r>
            <w:r>
              <w:rPr>
                <w:rFonts w:hint="eastAsia" w:ascii="宋体" w:hAnsi="宋体" w:cs="宋体"/>
                <w:color w:val="auto"/>
                <w:kern w:val="0"/>
                <w:sz w:val="21"/>
                <w:szCs w:val="21"/>
                <w:shd w:val="clear" w:color="auto" w:fill="auto"/>
              </w:rPr>
              <w:t>1亿元（含）以上20分；8000万元（含）以上18分；6000万元（含）以上12分；4000万元（含）以上14分；2000万元（含）以上12分；1000万元（含）以上10分；500万元（含）以上8分；100万元（含）以上6分；50万元（含）以上4分；50万元以下2分；无收入-1</w:t>
            </w:r>
            <w:r>
              <w:rPr>
                <w:rFonts w:ascii="宋体" w:hAnsi="宋体" w:cs="宋体"/>
                <w:color w:val="auto"/>
                <w:kern w:val="0"/>
                <w:sz w:val="21"/>
                <w:szCs w:val="21"/>
                <w:shd w:val="clear" w:color="auto" w:fill="auto"/>
              </w:rPr>
              <w:t>0</w:t>
            </w:r>
            <w:r>
              <w:rPr>
                <w:rFonts w:hint="eastAsia" w:ascii="宋体" w:hAnsi="宋体" w:cs="宋体"/>
                <w:color w:val="auto"/>
                <w:kern w:val="0"/>
                <w:sz w:val="21"/>
                <w:szCs w:val="21"/>
                <w:shd w:val="clear" w:color="auto" w:fill="auto"/>
              </w:rPr>
              <w:t>分（新取得资质当年除外）。</w:t>
            </w:r>
          </w:p>
        </w:tc>
      </w:tr>
      <w:tr>
        <w:tblPrEx>
          <w:tblCellMar>
            <w:top w:w="0" w:type="dxa"/>
            <w:left w:w="0" w:type="dxa"/>
            <w:bottom w:w="0" w:type="dxa"/>
            <w:right w:w="0" w:type="dxa"/>
          </w:tblCellMar>
        </w:tblPrEx>
        <w:trPr>
          <w:trHeight w:val="500" w:hRule="atLeast"/>
        </w:trPr>
        <w:tc>
          <w:tcPr>
            <w:tcW w:w="586"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val="en-US" w:eastAsia="zh-CN"/>
              </w:rPr>
            </w:pPr>
          </w:p>
        </w:tc>
        <w:tc>
          <w:tcPr>
            <w:tcW w:w="1035" w:type="dxa"/>
            <w:vMerge w:val="continue"/>
            <w:tcBorders>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center"/>
              <w:textAlignment w:val="center"/>
              <w:rPr>
                <w:rFonts w:hint="eastAsia" w:ascii="宋体" w:hAnsi="宋体" w:cs="宋体"/>
                <w:color w:val="auto"/>
                <w:kern w:val="0"/>
                <w:sz w:val="21"/>
                <w:szCs w:val="21"/>
                <w:shd w:val="clear" w:color="auto" w:fill="auto"/>
                <w:lang w:eastAsia="zh-CN"/>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eastAsia" w:ascii="宋体" w:hAnsi="宋体" w:cs="宋体"/>
                <w:color w:val="auto"/>
                <w:kern w:val="0"/>
                <w:sz w:val="21"/>
                <w:szCs w:val="21"/>
                <w:shd w:val="clear" w:color="auto" w:fill="auto"/>
                <w:lang w:eastAsia="zh-CN"/>
              </w:rPr>
            </w:pPr>
            <w:r>
              <w:rPr>
                <w:rFonts w:hint="eastAsia" w:ascii="宋体" w:hAnsi="宋体" w:cs="宋体"/>
                <w:color w:val="auto"/>
                <w:kern w:val="0"/>
                <w:sz w:val="21"/>
                <w:szCs w:val="21"/>
                <w:shd w:val="clear" w:color="auto" w:fill="auto"/>
                <w:lang w:eastAsia="zh-CN"/>
              </w:rPr>
              <w:t>上一年度缴纳税收</w:t>
            </w:r>
          </w:p>
        </w:tc>
        <w:tc>
          <w:tcPr>
            <w:tcW w:w="5225"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pPr>
              <w:widowControl/>
              <w:shd w:val="clear"/>
              <w:jc w:val="left"/>
              <w:textAlignment w:val="center"/>
              <w:rPr>
                <w:rFonts w:hint="default" w:asciiTheme="minorEastAsia" w:hAnsiTheme="minorEastAsia" w:eastAsiaTheme="minorEastAsia" w:cstheme="minorEastAsia"/>
                <w:color w:val="auto"/>
                <w:sz w:val="21"/>
                <w:szCs w:val="21"/>
                <w:shd w:val="clear" w:color="auto" w:fill="auto"/>
                <w:lang w:val="en-US" w:eastAsia="zh-CN"/>
              </w:rPr>
            </w:pPr>
            <w:r>
              <w:rPr>
                <w:rFonts w:hint="eastAsia" w:asciiTheme="minorEastAsia" w:hAnsiTheme="minorEastAsia" w:cstheme="minorEastAsia"/>
                <w:color w:val="auto"/>
                <w:sz w:val="21"/>
                <w:szCs w:val="21"/>
                <w:shd w:val="clear" w:color="auto" w:fill="auto"/>
                <w:lang w:eastAsia="zh-CN"/>
              </w:rPr>
              <w:t>最高</w:t>
            </w:r>
            <w:r>
              <w:rPr>
                <w:rFonts w:hint="eastAsia" w:asciiTheme="minorEastAsia" w:hAnsiTheme="minorEastAsia" w:cstheme="minorEastAsia"/>
                <w:color w:val="auto"/>
                <w:sz w:val="21"/>
                <w:szCs w:val="21"/>
                <w:shd w:val="clear" w:color="auto" w:fill="auto"/>
                <w:lang w:val="en-US" w:eastAsia="zh-CN"/>
              </w:rPr>
              <w:t>20分。</w:t>
            </w:r>
            <w:r>
              <w:rPr>
                <w:rFonts w:hint="eastAsia" w:ascii="宋体" w:hAnsi="宋体" w:cs="宋体"/>
                <w:color w:val="auto"/>
                <w:kern w:val="0"/>
                <w:sz w:val="21"/>
                <w:szCs w:val="21"/>
                <w:shd w:val="clear" w:color="auto" w:fill="auto"/>
                <w:lang w:val="en-US" w:eastAsia="zh-CN"/>
              </w:rPr>
              <w:t>800万元（含）以上20分；600万元（含）以上18分；400万元（含）以上16分；200万元（含）以上14分；100万元（含）以上12分；50万元（含）以上10分；30万元（含）以上8分；10万元（含）以上6分；5万元（含）以上4分；5万元（含）以下2分；无纳税-10分（新取得资质当年、依法抵扣税或免税的除外</w:t>
            </w:r>
          </w:p>
        </w:tc>
      </w:tr>
      <w:tr>
        <w:tblPrEx>
          <w:tblCellMar>
            <w:top w:w="0" w:type="dxa"/>
            <w:left w:w="0" w:type="dxa"/>
            <w:bottom w:w="0" w:type="dxa"/>
            <w:right w:w="0" w:type="dxa"/>
          </w:tblCellMar>
        </w:tblPrEx>
        <w:trPr>
          <w:trHeight w:val="500" w:hRule="atLeast"/>
        </w:trPr>
        <w:tc>
          <w:tcPr>
            <w:tcW w:w="8796" w:type="dxa"/>
            <w:gridSpan w:val="4"/>
            <w:tcBorders>
              <w:top w:val="nil"/>
              <w:left w:val="nil"/>
              <w:bottom w:val="nil"/>
              <w:right w:val="nil"/>
            </w:tcBorders>
            <w:shd w:val="clear" w:color="auto" w:fill="auto"/>
            <w:noWrap/>
            <w:tcMar>
              <w:top w:w="10" w:type="dxa"/>
              <w:left w:w="10" w:type="dxa"/>
              <w:right w:w="10" w:type="dxa"/>
            </w:tcMar>
            <w:vAlign w:val="center"/>
          </w:tcPr>
          <w:p>
            <w:pPr>
              <w:shd w:val="clear"/>
              <w:jc w:val="both"/>
              <w:rPr>
                <w:rFonts w:hint="default" w:ascii="宋体" w:hAnsi="宋体" w:cs="宋体" w:eastAsiaTheme="minorEastAsia"/>
                <w:color w:val="auto"/>
                <w:sz w:val="22"/>
                <w:szCs w:val="22"/>
                <w:shd w:val="clear" w:color="auto" w:fill="auto"/>
                <w:lang w:val="en-US" w:eastAsia="zh-CN"/>
              </w:rPr>
            </w:pPr>
            <w:r>
              <w:rPr>
                <w:rFonts w:hint="eastAsia" w:ascii="宋体" w:hAnsi="宋体" w:cs="宋体"/>
                <w:color w:val="auto"/>
                <w:sz w:val="22"/>
                <w:szCs w:val="22"/>
                <w:shd w:val="clear" w:color="auto" w:fill="auto"/>
                <w:lang w:eastAsia="zh-CN"/>
              </w:rPr>
              <w:t>说明：</w:t>
            </w:r>
            <w:r>
              <w:rPr>
                <w:rFonts w:hint="eastAsia" w:ascii="宋体" w:hAnsi="宋体" w:cs="宋体"/>
                <w:color w:val="auto"/>
                <w:sz w:val="22"/>
                <w:szCs w:val="22"/>
                <w:shd w:val="clear" w:color="auto" w:fill="auto"/>
                <w:lang w:val="en-US" w:eastAsia="zh-CN"/>
              </w:rPr>
              <w:t>1.工程业绩以信用主体在周完成履约业绩为计分依据。</w:t>
            </w:r>
          </w:p>
        </w:tc>
      </w:tr>
      <w:tr>
        <w:tblPrEx>
          <w:tblCellMar>
            <w:top w:w="0" w:type="dxa"/>
            <w:left w:w="0" w:type="dxa"/>
            <w:bottom w:w="0" w:type="dxa"/>
            <w:right w:w="0" w:type="dxa"/>
          </w:tblCellMar>
        </w:tblPrEx>
        <w:trPr>
          <w:trHeight w:val="500" w:hRule="atLeast"/>
        </w:trPr>
        <w:tc>
          <w:tcPr>
            <w:tcW w:w="586" w:type="dxa"/>
            <w:tcBorders>
              <w:top w:val="nil"/>
              <w:left w:val="nil"/>
              <w:bottom w:val="nil"/>
              <w:right w:val="nil"/>
            </w:tcBorders>
            <w:shd w:val="clear" w:color="auto" w:fill="auto"/>
            <w:noWrap/>
            <w:tcMar>
              <w:top w:w="10" w:type="dxa"/>
              <w:left w:w="10" w:type="dxa"/>
              <w:right w:w="10" w:type="dxa"/>
            </w:tcMar>
            <w:vAlign w:val="center"/>
          </w:tcPr>
          <w:p>
            <w:pPr>
              <w:widowControl/>
              <w:shd w:val="clear"/>
              <w:jc w:val="left"/>
              <w:textAlignment w:val="center"/>
              <w:rPr>
                <w:rFonts w:ascii="宋体" w:hAnsi="宋体" w:cs="宋体"/>
                <w:color w:val="auto"/>
                <w:sz w:val="20"/>
                <w:szCs w:val="20"/>
                <w:shd w:val="clear" w:color="auto" w:fill="auto"/>
              </w:rPr>
            </w:pPr>
          </w:p>
        </w:tc>
        <w:tc>
          <w:tcPr>
            <w:tcW w:w="8210" w:type="dxa"/>
            <w:gridSpan w:val="3"/>
            <w:tcBorders>
              <w:top w:val="nil"/>
              <w:left w:val="nil"/>
              <w:bottom w:val="nil"/>
              <w:right w:val="nil"/>
            </w:tcBorders>
            <w:shd w:val="clear" w:color="auto" w:fill="auto"/>
            <w:noWrap/>
            <w:tcMar>
              <w:top w:w="10" w:type="dxa"/>
              <w:left w:w="10" w:type="dxa"/>
              <w:right w:w="10" w:type="dxa"/>
            </w:tcMar>
            <w:vAlign w:val="center"/>
          </w:tcPr>
          <w:p>
            <w:pPr>
              <w:shd w:val="clear"/>
              <w:rPr>
                <w:rFonts w:ascii="宋体" w:hAnsi="宋体" w:cs="宋体"/>
                <w:color w:val="auto"/>
                <w:sz w:val="22"/>
                <w:szCs w:val="22"/>
                <w:shd w:val="clear" w:color="auto" w:fill="auto"/>
              </w:rPr>
            </w:pPr>
          </w:p>
        </w:tc>
      </w:tr>
    </w:tbl>
    <w:p>
      <w:pPr>
        <w:widowControl/>
        <w:shd w:val="clear"/>
        <w:spacing w:before="100" w:beforeAutospacing="1" w:after="100" w:afterAutospacing="1" w:line="340" w:lineRule="exact"/>
        <w:rPr>
          <w:rFonts w:ascii="仿宋" w:hAnsi="仿宋" w:eastAsia="仿宋" w:cs="仿宋"/>
          <w:bCs/>
          <w:color w:val="auto"/>
          <w:kern w:val="0"/>
          <w:sz w:val="28"/>
          <w:szCs w:val="28"/>
          <w:shd w:val="clear" w:color="auto" w:fill="auto"/>
        </w:rPr>
      </w:pPr>
    </w:p>
    <w:p>
      <w:pPr>
        <w:pStyle w:val="3"/>
        <w:keepNext w:val="0"/>
        <w:keepLines w:val="0"/>
        <w:pageBreakBefore w:val="0"/>
        <w:shd w:val="clear"/>
        <w:kinsoku/>
        <w:wordWrap/>
        <w:overflowPunct/>
        <w:topLinePunct w:val="0"/>
        <w:autoSpaceDE/>
        <w:autoSpaceDN/>
        <w:bidi w:val="0"/>
        <w:adjustRightInd/>
        <w:spacing w:line="600" w:lineRule="exact"/>
        <w:ind w:left="0" w:leftChars="0"/>
        <w:jc w:val="right"/>
        <w:textAlignment w:val="auto"/>
        <w:rPr>
          <w:rFonts w:hint="default" w:eastAsia="仿宋_GB2312"/>
          <w:color w:val="000000" w:themeColor="text1"/>
          <w:shd w:val="clear" w:color="auto" w:fill="auto"/>
          <w:lang w:val="en-US" w:eastAsia="zh-CN"/>
          <w14:textFill>
            <w14:solidFill>
              <w14:schemeClr w14:val="tx1"/>
            </w14:solidFill>
          </w14:textFill>
        </w:rPr>
      </w:pPr>
    </w:p>
    <w:sectPr>
      <w:footerReference r:id="rId4"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CESI仿宋-GB2312">
    <w:panose1 w:val="02000500000000000000"/>
    <w:charset w:val="86"/>
    <w:family w:val="auto"/>
    <w:pitch w:val="default"/>
    <w:sig w:usb0="800002AF" w:usb1="084F6CF8" w:usb2="00000010" w:usb3="00000000" w:csb0="0004000F" w:csb1="00000000"/>
  </w:font>
  <w:font w:name="CESI楷体-GB2312">
    <w:panose1 w:val="02000500000000000000"/>
    <w:charset w:val="86"/>
    <w:family w:val="auto"/>
    <w:pitch w:val="default"/>
    <w:sig w:usb0="800002BF" w:usb1="184F6CF8" w:usb2="00000012" w:usb3="00000000" w:csb0="0004000F"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firstLine="360"/>
      <w:jc w:val="center"/>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Theme="minorEastAsia"/>
                              <w:sz w:val="21"/>
                              <w:szCs w:val="21"/>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- 1 -</w:t>
                          </w:r>
                          <w:r>
                            <w:rPr>
                              <w:rFonts w:hint="eastAsia"/>
                              <w:sz w:val="24"/>
                              <w:szCs w:val="24"/>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7"/>
                      <w:rPr>
                        <w:rFonts w:hint="eastAsia" w:eastAsiaTheme="minorEastAsia"/>
                        <w:sz w:val="21"/>
                        <w:szCs w:val="21"/>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- 1 -</w:t>
                    </w:r>
                    <w:r>
                      <w:rPr>
                        <w:rFonts w:hint="eastAsia"/>
                        <w:sz w:val="24"/>
                        <w:szCs w:val="24"/>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- 12 -</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8FiLyGwIAACk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A8FiLyGwIAACkEAAAOAAAAAAAAAAEAIAAAADUBAABkcnMvZTJvRG9jLnhtbFBLBQYA&#10;AAAABgAGAFkBAADCBQAAAAA=&#10;">
              <v:fill on="f" focussize="0,0"/>
              <v:stroke on="f" weight="0.5pt"/>
              <v:imagedata o:title=""/>
              <o:lock v:ext="edit" aspectratio="f"/>
              <v:textbox inset="0mm,0mm,0mm,0mm" style="mso-fit-shape-to-text:t;">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- 12 -</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1A3"/>
    <w:rsid w:val="001F0F2D"/>
    <w:rsid w:val="00317782"/>
    <w:rsid w:val="00332C50"/>
    <w:rsid w:val="003573FB"/>
    <w:rsid w:val="003F3C52"/>
    <w:rsid w:val="00411AAC"/>
    <w:rsid w:val="004401A3"/>
    <w:rsid w:val="00447CC2"/>
    <w:rsid w:val="005D3237"/>
    <w:rsid w:val="006620E2"/>
    <w:rsid w:val="00704400"/>
    <w:rsid w:val="00736A54"/>
    <w:rsid w:val="00783DDD"/>
    <w:rsid w:val="008F4518"/>
    <w:rsid w:val="00A01EF6"/>
    <w:rsid w:val="00BE4383"/>
    <w:rsid w:val="00C93828"/>
    <w:rsid w:val="00CE7AFC"/>
    <w:rsid w:val="00F65A81"/>
    <w:rsid w:val="03275AE0"/>
    <w:rsid w:val="03A22BCC"/>
    <w:rsid w:val="053D43F9"/>
    <w:rsid w:val="06297897"/>
    <w:rsid w:val="065A0077"/>
    <w:rsid w:val="07864B84"/>
    <w:rsid w:val="08000DB1"/>
    <w:rsid w:val="08FB045E"/>
    <w:rsid w:val="0A324604"/>
    <w:rsid w:val="0B677D77"/>
    <w:rsid w:val="0D2D50FA"/>
    <w:rsid w:val="104F69BB"/>
    <w:rsid w:val="10584F14"/>
    <w:rsid w:val="117740F8"/>
    <w:rsid w:val="118B2EF1"/>
    <w:rsid w:val="137C1CF2"/>
    <w:rsid w:val="152A3D3C"/>
    <w:rsid w:val="163A06EE"/>
    <w:rsid w:val="16820FA9"/>
    <w:rsid w:val="186501D6"/>
    <w:rsid w:val="186B3A11"/>
    <w:rsid w:val="19262EA2"/>
    <w:rsid w:val="1938741E"/>
    <w:rsid w:val="1DD15F45"/>
    <w:rsid w:val="1E364455"/>
    <w:rsid w:val="1F6927D6"/>
    <w:rsid w:val="21336BDE"/>
    <w:rsid w:val="2153437B"/>
    <w:rsid w:val="220C27A9"/>
    <w:rsid w:val="226740C9"/>
    <w:rsid w:val="229746DD"/>
    <w:rsid w:val="22E6343E"/>
    <w:rsid w:val="25D979D9"/>
    <w:rsid w:val="26373DBA"/>
    <w:rsid w:val="2A4260CC"/>
    <w:rsid w:val="2B76416E"/>
    <w:rsid w:val="2BB00278"/>
    <w:rsid w:val="2CD16432"/>
    <w:rsid w:val="2D923BB4"/>
    <w:rsid w:val="2DF3645E"/>
    <w:rsid w:val="2FD7E683"/>
    <w:rsid w:val="328749D5"/>
    <w:rsid w:val="32DD01E4"/>
    <w:rsid w:val="331968B1"/>
    <w:rsid w:val="33801E9E"/>
    <w:rsid w:val="349F6C1C"/>
    <w:rsid w:val="3591276F"/>
    <w:rsid w:val="359212D2"/>
    <w:rsid w:val="36E54290"/>
    <w:rsid w:val="36ED1014"/>
    <w:rsid w:val="37DFCB26"/>
    <w:rsid w:val="392842A9"/>
    <w:rsid w:val="3C8A4740"/>
    <w:rsid w:val="3CB825A2"/>
    <w:rsid w:val="3CC16199"/>
    <w:rsid w:val="3E28761C"/>
    <w:rsid w:val="3E366F4E"/>
    <w:rsid w:val="3F2F5ED9"/>
    <w:rsid w:val="3F513A2B"/>
    <w:rsid w:val="40D1489A"/>
    <w:rsid w:val="40D20EBD"/>
    <w:rsid w:val="420371FC"/>
    <w:rsid w:val="424E798F"/>
    <w:rsid w:val="43816954"/>
    <w:rsid w:val="44DE1868"/>
    <w:rsid w:val="46A55C21"/>
    <w:rsid w:val="490B4372"/>
    <w:rsid w:val="49282F8A"/>
    <w:rsid w:val="4C4B021A"/>
    <w:rsid w:val="4D9013A1"/>
    <w:rsid w:val="4E2B0CBE"/>
    <w:rsid w:val="4EB54451"/>
    <w:rsid w:val="52F62EF2"/>
    <w:rsid w:val="53DCCEB2"/>
    <w:rsid w:val="53DD31DD"/>
    <w:rsid w:val="53E873C0"/>
    <w:rsid w:val="5517523B"/>
    <w:rsid w:val="58A46DAF"/>
    <w:rsid w:val="598C4D01"/>
    <w:rsid w:val="5D274B10"/>
    <w:rsid w:val="5DB41D4A"/>
    <w:rsid w:val="5FEFCF27"/>
    <w:rsid w:val="60346913"/>
    <w:rsid w:val="607929C9"/>
    <w:rsid w:val="62525C4F"/>
    <w:rsid w:val="625C6D46"/>
    <w:rsid w:val="6260325E"/>
    <w:rsid w:val="63283098"/>
    <w:rsid w:val="65964D60"/>
    <w:rsid w:val="65B92C2E"/>
    <w:rsid w:val="66DA74E3"/>
    <w:rsid w:val="69F25430"/>
    <w:rsid w:val="6BB12329"/>
    <w:rsid w:val="6C3723CB"/>
    <w:rsid w:val="6C6D7ECC"/>
    <w:rsid w:val="6CFB1D4F"/>
    <w:rsid w:val="6D007B1C"/>
    <w:rsid w:val="6D541F51"/>
    <w:rsid w:val="6DAA5801"/>
    <w:rsid w:val="6EA25055"/>
    <w:rsid w:val="6ED034C2"/>
    <w:rsid w:val="6F126D86"/>
    <w:rsid w:val="717466D7"/>
    <w:rsid w:val="71901FE0"/>
    <w:rsid w:val="719265E7"/>
    <w:rsid w:val="74A63B63"/>
    <w:rsid w:val="75E7237D"/>
    <w:rsid w:val="7617094A"/>
    <w:rsid w:val="76511A5C"/>
    <w:rsid w:val="77893B3F"/>
    <w:rsid w:val="798F09F7"/>
    <w:rsid w:val="79C11682"/>
    <w:rsid w:val="7A2E1426"/>
    <w:rsid w:val="7AC649DB"/>
    <w:rsid w:val="7ACE2577"/>
    <w:rsid w:val="7C4F6B44"/>
    <w:rsid w:val="7CFECC59"/>
    <w:rsid w:val="7D092238"/>
    <w:rsid w:val="7D67C117"/>
    <w:rsid w:val="7D7B525D"/>
    <w:rsid w:val="7EA2159C"/>
    <w:rsid w:val="7F280548"/>
    <w:rsid w:val="7FE23EC0"/>
    <w:rsid w:val="8FFBC44D"/>
    <w:rsid w:val="96FFF632"/>
    <w:rsid w:val="BF7FEE43"/>
    <w:rsid w:val="C5FE97D2"/>
    <w:rsid w:val="CBBF8961"/>
    <w:rsid w:val="DF7ECA7F"/>
    <w:rsid w:val="DFEF9CD0"/>
    <w:rsid w:val="EBDF74A5"/>
    <w:rsid w:val="F25A2B4A"/>
    <w:rsid w:val="F9FEDB87"/>
    <w:rsid w:val="FB9DA910"/>
    <w:rsid w:val="FDFFF25F"/>
    <w:rsid w:val="FFFBCD4F"/>
    <w:rsid w:val="FFFFD9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2"/>
    <w:basedOn w:val="1"/>
    <w:next w:val="1"/>
    <w:qFormat/>
    <w:uiPriority w:val="0"/>
    <w:pPr>
      <w:widowControl/>
      <w:spacing w:before="100" w:beforeLines="0" w:beforeAutospacing="1" w:after="100" w:afterLines="0" w:afterAutospacing="1"/>
      <w:jc w:val="left"/>
      <w:outlineLvl w:val="1"/>
    </w:pPr>
    <w:rPr>
      <w:rFonts w:ascii="宋体" w:hAnsi="宋体" w:cs="宋体"/>
      <w:b/>
      <w:bCs/>
      <w:kern w:val="0"/>
      <w:sz w:val="36"/>
      <w:szCs w:val="36"/>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footnote text"/>
    <w:basedOn w:val="1"/>
    <w:next w:val="3"/>
    <w:qFormat/>
    <w:uiPriority w:val="0"/>
    <w:pPr>
      <w:snapToGrid w:val="0"/>
      <w:jc w:val="left"/>
    </w:pPr>
    <w:rPr>
      <w:sz w:val="18"/>
      <w:szCs w:val="18"/>
    </w:rPr>
  </w:style>
  <w:style w:type="paragraph" w:customStyle="1" w:styleId="3">
    <w:name w:val="index 5"/>
    <w:basedOn w:val="1"/>
    <w:next w:val="1"/>
    <w:qFormat/>
    <w:uiPriority w:val="0"/>
    <w:pPr>
      <w:ind w:left="1680" w:leftChars="800" w:firstLine="2880" w:firstLineChars="900"/>
      <w:jc w:val="left"/>
    </w:pPr>
    <w:rPr>
      <w:rFonts w:ascii="仿宋" w:hAnsi="仿宋" w:eastAsia="仿宋" w:cs="仿宋"/>
      <w:color w:val="FF0000"/>
      <w:sz w:val="32"/>
      <w:szCs w:val="32"/>
    </w:rPr>
  </w:style>
  <w:style w:type="paragraph" w:styleId="5">
    <w:name w:val="Body Text"/>
    <w:basedOn w:val="1"/>
    <w:next w:val="1"/>
    <w:qFormat/>
    <w:uiPriority w:val="0"/>
    <w:pPr>
      <w:spacing w:line="240" w:lineRule="atLeast"/>
    </w:pPr>
    <w:rPr>
      <w:rFonts w:ascii="仿宋_GB2312" w:eastAsia="仿宋_GB2312"/>
      <w:sz w:val="32"/>
    </w:rPr>
  </w:style>
  <w:style w:type="paragraph" w:styleId="6">
    <w:name w:val="Balloon Text"/>
    <w:basedOn w:val="1"/>
    <w:link w:val="19"/>
    <w:semiHidden/>
    <w:unhideWhenUsed/>
    <w:qFormat/>
    <w:uiPriority w:val="99"/>
    <w:rPr>
      <w:sz w:val="18"/>
      <w:szCs w:val="18"/>
    </w:rPr>
  </w:style>
  <w:style w:type="paragraph" w:styleId="7">
    <w:name w:val="footer"/>
    <w:basedOn w:val="1"/>
    <w:link w:val="18"/>
    <w:unhideWhenUsed/>
    <w:qFormat/>
    <w:uiPriority w:val="99"/>
    <w:pPr>
      <w:tabs>
        <w:tab w:val="center" w:pos="4153"/>
        <w:tab w:val="right" w:pos="8306"/>
      </w:tabs>
      <w:snapToGrid w:val="0"/>
      <w:jc w:val="left"/>
    </w:pPr>
    <w:rPr>
      <w:sz w:val="18"/>
      <w:szCs w:val="18"/>
    </w:rPr>
  </w:style>
  <w:style w:type="paragraph" w:styleId="8">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0">
    <w:name w:val="Body Text First Indent"/>
    <w:basedOn w:val="5"/>
    <w:next w:val="1"/>
    <w:qFormat/>
    <w:uiPriority w:val="0"/>
    <w:pPr>
      <w:ind w:firstLine="420" w:firstLineChars="100"/>
    </w:pPr>
  </w:style>
  <w:style w:type="character" w:styleId="13">
    <w:name w:val="Strong"/>
    <w:basedOn w:val="12"/>
    <w:qFormat/>
    <w:uiPriority w:val="0"/>
    <w:rPr>
      <w:b/>
    </w:rPr>
  </w:style>
  <w:style w:type="character" w:styleId="14">
    <w:name w:val="page number"/>
    <w:basedOn w:val="12"/>
    <w:qFormat/>
    <w:uiPriority w:val="0"/>
  </w:style>
  <w:style w:type="character" w:styleId="15">
    <w:name w:val="Hyperlink"/>
    <w:basedOn w:val="12"/>
    <w:unhideWhenUsed/>
    <w:qFormat/>
    <w:uiPriority w:val="99"/>
    <w:rPr>
      <w:color w:val="0000FF" w:themeColor="hyperlink"/>
      <w:u w:val="single"/>
      <w14:textFill>
        <w14:solidFill>
          <w14:schemeClr w14:val="hlink"/>
        </w14:solidFill>
      </w14:textFill>
    </w:rPr>
  </w:style>
  <w:style w:type="paragraph" w:styleId="16">
    <w:name w:val="List Paragraph"/>
    <w:basedOn w:val="1"/>
    <w:qFormat/>
    <w:uiPriority w:val="34"/>
    <w:pPr>
      <w:ind w:firstLine="420" w:firstLineChars="200"/>
    </w:pPr>
  </w:style>
  <w:style w:type="character" w:customStyle="1" w:styleId="17">
    <w:name w:val="页眉 Char"/>
    <w:basedOn w:val="12"/>
    <w:link w:val="8"/>
    <w:qFormat/>
    <w:uiPriority w:val="99"/>
    <w:rPr>
      <w:rFonts w:asciiTheme="minorHAnsi" w:hAnsiTheme="minorHAnsi" w:eastAsiaTheme="minorEastAsia" w:cstheme="minorBidi"/>
      <w:kern w:val="2"/>
      <w:sz w:val="18"/>
      <w:szCs w:val="18"/>
    </w:rPr>
  </w:style>
  <w:style w:type="character" w:customStyle="1" w:styleId="18">
    <w:name w:val="页脚 Char"/>
    <w:basedOn w:val="12"/>
    <w:link w:val="7"/>
    <w:qFormat/>
    <w:uiPriority w:val="99"/>
    <w:rPr>
      <w:rFonts w:asciiTheme="minorHAnsi" w:hAnsiTheme="minorHAnsi" w:eastAsiaTheme="minorEastAsia" w:cstheme="minorBidi"/>
      <w:kern w:val="2"/>
      <w:sz w:val="18"/>
      <w:szCs w:val="18"/>
    </w:rPr>
  </w:style>
  <w:style w:type="character" w:customStyle="1" w:styleId="19">
    <w:name w:val="批注框文本 Char"/>
    <w:basedOn w:val="12"/>
    <w:link w:val="6"/>
    <w:semiHidden/>
    <w:qFormat/>
    <w:uiPriority w:val="99"/>
    <w:rPr>
      <w:rFonts w:asciiTheme="minorHAnsi" w:hAnsiTheme="minorHAnsi" w:eastAsiaTheme="minorEastAsia" w:cstheme="minorBidi"/>
      <w:kern w:val="2"/>
      <w:sz w:val="18"/>
      <w:szCs w:val="18"/>
    </w:rPr>
  </w:style>
  <w:style w:type="paragraph" w:customStyle="1" w:styleId="20">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807</Words>
  <Characters>4604</Characters>
  <Lines>38</Lines>
  <Paragraphs>10</Paragraphs>
  <TotalTime>8</TotalTime>
  <ScaleCrop>false</ScaleCrop>
  <LinksUpToDate>false</LinksUpToDate>
  <CharactersWithSpaces>5401</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2020-04-02T08:40:00Z</dcterms:created>
  <dc:creator>Microsoft</dc:creator>
  <cp:lastModifiedBy>孙腾飞</cp:lastModifiedBy>
  <cp:lastPrinted>2023-10-31T10:15:50Z</cp:lastPrinted>
  <dcterms:modified xsi:type="dcterms:W3CDTF">2023-10-31T10:15:57Z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ies>
</file>