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topLinePunct w:val="0"/>
        <w:autoSpaceDE/>
        <w:autoSpaceDN/>
        <w:bidi w:val="0"/>
        <w:adjustRightInd/>
        <w:spacing w:line="600" w:lineRule="exact"/>
        <w:ind w:firstLine="880" w:firstLineChars="200"/>
        <w:jc w:val="center"/>
        <w:textAlignment w:val="auto"/>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《周口市城市更新实施办法</w:t>
      </w:r>
      <w:r>
        <w:rPr>
          <w:rFonts w:hint="eastAsia" w:ascii="方正小标宋简体" w:hAnsi="方正小标宋简体" w:eastAsia="方正小标宋简体" w:cs="方正小标宋简体"/>
          <w:sz w:val="44"/>
          <w:szCs w:val="44"/>
          <w:lang w:eastAsia="zh-CN"/>
        </w:rPr>
        <w:t>（试行）</w:t>
      </w:r>
      <w:r>
        <w:rPr>
          <w:rFonts w:hint="eastAsia" w:ascii="方正小标宋简体" w:hAnsi="方正小标宋简体" w:eastAsia="方正小标宋简体" w:cs="方正小标宋简体"/>
          <w:bCs/>
          <w:sz w:val="44"/>
          <w:szCs w:val="44"/>
        </w:rPr>
        <w:t>》</w:t>
      </w:r>
    </w:p>
    <w:p>
      <w:pPr>
        <w:keepNext w:val="0"/>
        <w:keepLines w:val="0"/>
        <w:pageBreakBefore w:val="0"/>
        <w:widowControl w:val="0"/>
        <w:kinsoku/>
        <w:wordWrap/>
        <w:topLinePunct w:val="0"/>
        <w:autoSpaceDE/>
        <w:autoSpaceDN/>
        <w:bidi w:val="0"/>
        <w:adjustRightInd/>
        <w:spacing w:line="600" w:lineRule="exact"/>
        <w:ind w:firstLine="880" w:firstLineChars="200"/>
        <w:jc w:val="center"/>
        <w:textAlignment w:val="auto"/>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（征求意见稿）起草</w:t>
      </w:r>
      <w:r>
        <w:rPr>
          <w:rFonts w:hint="eastAsia" w:ascii="方正小标宋简体" w:hAnsi="方正小标宋简体" w:eastAsia="方正小标宋简体" w:cs="方正小标宋简体"/>
          <w:bCs/>
          <w:sz w:val="44"/>
          <w:szCs w:val="44"/>
          <w:lang w:eastAsia="zh-CN"/>
        </w:rPr>
        <w:t>情况</w:t>
      </w:r>
      <w:r>
        <w:rPr>
          <w:rFonts w:hint="eastAsia" w:ascii="方正小标宋简体" w:hAnsi="方正小标宋简体" w:eastAsia="方正小标宋简体" w:cs="方正小标宋简体"/>
          <w:bCs/>
          <w:sz w:val="44"/>
          <w:szCs w:val="44"/>
        </w:rPr>
        <w:t>说明</w:t>
      </w:r>
    </w:p>
    <w:p>
      <w:pPr>
        <w:keepNext w:val="0"/>
        <w:keepLines w:val="0"/>
        <w:pageBreakBefore w:val="0"/>
        <w:widowControl w:val="0"/>
        <w:kinsoku/>
        <w:wordWrap/>
        <w:topLinePunct w:val="0"/>
        <w:autoSpaceDE/>
        <w:autoSpaceDN/>
        <w:bidi w:val="0"/>
        <w:adjustRightInd/>
        <w:spacing w:line="600" w:lineRule="exact"/>
        <w:ind w:firstLine="640" w:firstLineChars="200"/>
        <w:textAlignment w:val="auto"/>
        <w:rPr>
          <w:rFonts w:hint="eastAsia" w:ascii="黑体" w:hAnsi="黑体" w:eastAsia="黑体" w:cs="黑体"/>
          <w:sz w:val="32"/>
          <w:szCs w:val="32"/>
        </w:rPr>
      </w:pPr>
    </w:p>
    <w:p>
      <w:pPr>
        <w:keepNext w:val="0"/>
        <w:keepLines w:val="0"/>
        <w:pageBreakBefore w:val="0"/>
        <w:widowControl w:val="0"/>
        <w:kinsoku/>
        <w:wordWrap/>
        <w:topLinePunct w:val="0"/>
        <w:autoSpaceDE/>
        <w:autoSpaceDN/>
        <w:bidi w:val="0"/>
        <w:adjustRightInd/>
        <w:spacing w:line="600" w:lineRule="exact"/>
        <w:ind w:firstLine="640" w:firstLineChars="200"/>
        <w:textAlignment w:val="auto"/>
        <w:rPr>
          <w:rFonts w:eastAsia="仿宋_GB2312"/>
          <w:kern w:val="0"/>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起草</w:t>
      </w:r>
      <w:r>
        <w:rPr>
          <w:rFonts w:hint="eastAsia" w:ascii="黑体" w:hAnsi="黑体" w:eastAsia="黑体" w:cs="黑体"/>
          <w:sz w:val="32"/>
          <w:szCs w:val="32"/>
        </w:rPr>
        <w:t>背景</w:t>
      </w:r>
    </w:p>
    <w:p>
      <w:pPr>
        <w:pStyle w:val="2"/>
        <w:keepNext w:val="0"/>
        <w:keepLines w:val="0"/>
        <w:pageBreakBefore w:val="0"/>
        <w:widowControl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szCs w:val="32"/>
        </w:rPr>
      </w:pPr>
      <w:r>
        <w:rPr>
          <w:rFonts w:hint="eastAsia" w:ascii="仿宋_GB2312" w:hAnsi="仿宋_GB2312" w:eastAsia="仿宋_GB2312" w:cs="仿宋_GB2312"/>
          <w:szCs w:val="32"/>
          <w:lang w:val="en-US" w:eastAsia="zh-CN"/>
        </w:rPr>
        <w:t>城市更新肩负着城市空间盘活、人文记忆再生、社交活力重塑的历史使命，也是实现城市可持续发展目标的核心引擎。</w:t>
      </w:r>
      <w:r>
        <w:rPr>
          <w:rFonts w:hint="eastAsia" w:ascii="仿宋_GB2312" w:hAnsi="仿宋_GB2312" w:eastAsia="仿宋_GB2312" w:cs="仿宋_GB2312"/>
          <w:szCs w:val="32"/>
        </w:rPr>
        <w:t>党的十九届五中全会首次提出“实施城市更新行动”</w:t>
      </w:r>
      <w:r>
        <w:rPr>
          <w:rFonts w:hint="eastAsia" w:ascii="仿宋_GB2312" w:hAnsi="仿宋_GB2312" w:eastAsia="仿宋_GB2312" w:cs="仿宋_GB2312"/>
          <w:szCs w:val="32"/>
          <w:lang w:val="en-US" w:eastAsia="zh-CN"/>
        </w:rPr>
        <w:t>，具体提出：“推进城市生态修复、功能完善工程，统筹城市规划、建设、管理，合理确定城市规模、人口密度、空间结构，促进大中小城市和小城镇协调发展”</w:t>
      </w:r>
      <w:r>
        <w:rPr>
          <w:rFonts w:hint="eastAsia" w:hAnsi="仿宋_GB2312" w:cs="仿宋_GB2312"/>
          <w:szCs w:val="32"/>
          <w:lang w:val="en-US" w:eastAsia="zh-CN"/>
        </w:rPr>
        <w:t>，</w:t>
      </w:r>
      <w:r>
        <w:rPr>
          <w:rFonts w:hint="eastAsia" w:ascii="仿宋_GB2312" w:hAnsi="仿宋_GB2312" w:eastAsia="仿宋_GB2312" w:cs="仿宋_GB2312"/>
          <w:szCs w:val="32"/>
          <w:lang w:val="en-US" w:eastAsia="zh-CN"/>
        </w:rPr>
        <w:t>为创新城市建设运营模式、推进新型城镇化建设指明了前进方向。习近平总书记</w:t>
      </w:r>
      <w:r>
        <w:rPr>
          <w:rFonts w:hint="eastAsia" w:hAnsi="仿宋_GB2312" w:cs="仿宋_GB2312"/>
          <w:szCs w:val="32"/>
          <w:lang w:val="en-US" w:eastAsia="zh-CN"/>
        </w:rPr>
        <w:t>在二十大报告中</w:t>
      </w:r>
      <w:r>
        <w:rPr>
          <w:rFonts w:hint="eastAsia" w:ascii="仿宋_GB2312" w:hAnsi="仿宋_GB2312" w:eastAsia="仿宋_GB2312" w:cs="仿宋_GB2312"/>
          <w:szCs w:val="32"/>
          <w:lang w:val="en-US" w:eastAsia="zh-CN"/>
        </w:rPr>
        <w:t>指出，</w:t>
      </w:r>
      <w:r>
        <w:rPr>
          <w:rFonts w:hint="eastAsia" w:hAnsi="仿宋_GB2312" w:cs="仿宋_GB2312"/>
          <w:szCs w:val="32"/>
          <w:lang w:val="en-US" w:eastAsia="zh-CN"/>
        </w:rPr>
        <w:t>“</w:t>
      </w:r>
      <w:r>
        <w:rPr>
          <w:rFonts w:hint="eastAsia" w:ascii="仿宋_GB2312" w:hAnsi="仿宋_GB2312" w:eastAsia="仿宋_GB2312" w:cs="仿宋_GB2312"/>
          <w:szCs w:val="32"/>
          <w:lang w:val="en-US" w:eastAsia="zh-CN"/>
        </w:rPr>
        <w:t>坚持人民城市人民建、人民城市为人民，提高城市规划、建设、治理水平，加快转变超大特大城市发展方式，实施城市更新行动，加强城市基础设施建设，打造宜居、韧性、智慧城市”</w:t>
      </w:r>
      <w:r>
        <w:rPr>
          <w:rFonts w:hint="eastAsia" w:hAnsi="仿宋_GB2312" w:cs="仿宋_GB2312"/>
          <w:szCs w:val="32"/>
          <w:lang w:val="en-US" w:eastAsia="zh-CN"/>
        </w:rPr>
        <w:t>，为今后城市建设发展指明了方向，提供了根本遵循</w:t>
      </w:r>
      <w:r>
        <w:rPr>
          <w:rFonts w:hint="eastAsia" w:ascii="仿宋_GB2312" w:hAnsi="仿宋_GB2312" w:eastAsia="仿宋_GB2312" w:cs="仿宋_GB2312"/>
          <w:szCs w:val="32"/>
          <w:lang w:val="en-US" w:eastAsia="zh-CN"/>
        </w:rPr>
        <w:t>。</w:t>
      </w:r>
      <w:r>
        <w:rPr>
          <w:rFonts w:hint="eastAsia" w:ascii="仿宋_GB2312" w:hAnsi="仿宋_GB2312" w:eastAsia="仿宋_GB2312" w:cs="仿宋_GB2312"/>
          <w:szCs w:val="32"/>
        </w:rPr>
        <w:t>住建部针对“实施城市更新行动”进行了深化解读，后又印发《住房和城乡建设部关于在实施城市更新行动中防止大拆大建问题的通知》，指导各地积极稳妥实施城市更新行动。</w:t>
      </w:r>
      <w:r>
        <w:rPr>
          <w:rFonts w:hint="eastAsia" w:hAnsi="仿宋_GB2312" w:cs="仿宋_GB2312"/>
          <w:szCs w:val="32"/>
          <w:lang w:eastAsia="zh-CN"/>
        </w:rPr>
        <w:t>为推进我省城市更新工作，</w:t>
      </w:r>
      <w:r>
        <w:rPr>
          <w:rFonts w:hint="eastAsia" w:ascii="仿宋_GB2312" w:hAnsi="仿宋_GB2312" w:eastAsia="仿宋_GB2312" w:cs="仿宋_GB2312"/>
          <w:szCs w:val="32"/>
        </w:rPr>
        <w:t>河南省人民政府</w:t>
      </w:r>
      <w:r>
        <w:rPr>
          <w:rFonts w:hint="eastAsia" w:hAnsi="仿宋_GB2312" w:cs="仿宋_GB2312"/>
          <w:szCs w:val="32"/>
          <w:lang w:eastAsia="zh-CN"/>
        </w:rPr>
        <w:t>印发了《</w:t>
      </w:r>
      <w:r>
        <w:rPr>
          <w:rFonts w:hint="eastAsia" w:ascii="仿宋_GB2312" w:hAnsi="仿宋_GB2312" w:eastAsia="仿宋_GB2312" w:cs="仿宋_GB2312"/>
          <w:szCs w:val="32"/>
        </w:rPr>
        <w:t>关于印发河南省“十四五”城市更新和城乡人居环境建设规划的通知</w:t>
      </w:r>
      <w:r>
        <w:rPr>
          <w:rFonts w:hint="eastAsia" w:hAnsi="仿宋_GB2312" w:cs="仿宋_GB2312"/>
          <w:szCs w:val="32"/>
          <w:lang w:eastAsia="zh-CN"/>
        </w:rPr>
        <w:t>》，</w:t>
      </w:r>
      <w:r>
        <w:rPr>
          <w:rFonts w:hint="eastAsia" w:ascii="仿宋_GB2312" w:hAnsi="仿宋_GB2312" w:eastAsia="仿宋_GB2312" w:cs="仿宋_GB2312"/>
          <w:szCs w:val="32"/>
        </w:rPr>
        <w:t>省住建厅也多次调度各市</w:t>
      </w:r>
      <w:r>
        <w:rPr>
          <w:rFonts w:hint="eastAsia" w:hAnsi="仿宋_GB2312" w:cs="仿宋_GB2312"/>
          <w:szCs w:val="32"/>
          <w:lang w:eastAsia="zh-CN"/>
        </w:rPr>
        <w:t>城市更新工作</w:t>
      </w:r>
      <w:r>
        <w:rPr>
          <w:rFonts w:hint="eastAsia" w:ascii="仿宋_GB2312" w:hAnsi="仿宋_GB2312" w:eastAsia="仿宋_GB2312" w:cs="仿宋_GB2312"/>
          <w:szCs w:val="32"/>
        </w:rPr>
        <w:t>推进情况。为全面贯彻中央</w:t>
      </w:r>
      <w:r>
        <w:rPr>
          <w:rFonts w:hint="eastAsia" w:hAnsi="仿宋_GB2312" w:cs="仿宋_GB2312"/>
          <w:szCs w:val="32"/>
          <w:lang w:eastAsia="zh-CN"/>
        </w:rPr>
        <w:t>、</w:t>
      </w:r>
      <w:r>
        <w:rPr>
          <w:rFonts w:hint="eastAsia" w:ascii="仿宋_GB2312" w:hAnsi="仿宋_GB2312" w:eastAsia="仿宋_GB2312" w:cs="仿宋_GB2312"/>
          <w:szCs w:val="32"/>
        </w:rPr>
        <w:t>省</w:t>
      </w:r>
      <w:r>
        <w:rPr>
          <w:rFonts w:hint="eastAsia" w:hAnsi="仿宋_GB2312" w:cs="仿宋_GB2312"/>
          <w:szCs w:val="32"/>
          <w:lang w:eastAsia="zh-CN"/>
        </w:rPr>
        <w:t>、市</w:t>
      </w:r>
      <w:r>
        <w:rPr>
          <w:rFonts w:hint="eastAsia" w:ascii="仿宋_GB2312" w:hAnsi="仿宋_GB2312" w:eastAsia="仿宋_GB2312" w:cs="仿宋_GB2312"/>
          <w:szCs w:val="32"/>
        </w:rPr>
        <w:t>关于实施城市更新行动的工作部署和行动目标，市住建局起草了《周口市城市更新实施办法</w:t>
      </w:r>
      <w:r>
        <w:rPr>
          <w:rFonts w:hint="eastAsia" w:ascii="仿宋_GB2312" w:hAnsi="仿宋_GB2312" w:eastAsia="仿宋_GB2312" w:cs="仿宋_GB2312"/>
          <w:szCs w:val="32"/>
          <w:lang w:eastAsia="zh-CN"/>
        </w:rPr>
        <w:t>（试行）</w:t>
      </w:r>
      <w:r>
        <w:rPr>
          <w:rFonts w:hint="eastAsia" w:ascii="仿宋_GB2312" w:hAnsi="仿宋_GB2312" w:eastAsia="仿宋_GB2312" w:cs="仿宋_GB2312"/>
          <w:szCs w:val="32"/>
        </w:rPr>
        <w:t>》。</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ascii="仿宋" w:hAnsi="仿宋" w:eastAsia="仿宋"/>
          <w:sz w:val="32"/>
          <w:szCs w:val="32"/>
        </w:rPr>
      </w:pPr>
      <w:r>
        <w:rPr>
          <w:rFonts w:hint="eastAsia" w:ascii="黑体" w:hAnsi="宋体" w:eastAsia="黑体"/>
          <w:bCs/>
          <w:kern w:val="0"/>
          <w:sz w:val="32"/>
          <w:szCs w:val="32"/>
        </w:rPr>
        <w:t>二、起草依据</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（一）《中共中央关于制定国民经济和社会发展第十四个五年规划和二〇三五年远景目标的建议》；</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w:t>
      </w:r>
      <w:r>
        <w:rPr>
          <w:rFonts w:hint="default" w:ascii="仿宋_GB2312" w:hAnsi="仿宋_GB2312" w:eastAsia="仿宋_GB2312" w:cs="仿宋_GB2312"/>
          <w:kern w:val="2"/>
          <w:sz w:val="32"/>
          <w:szCs w:val="32"/>
          <w:lang w:val="en-US" w:eastAsia="zh-CN" w:bidi="ar-SA"/>
        </w:rPr>
        <w:t>《住房和城乡建设部关于在实施城市更新行动中防止大拆大建问题的通知》（建科〔2021〕63号）</w:t>
      </w:r>
      <w:r>
        <w:rPr>
          <w:rFonts w:hint="eastAsia" w:ascii="仿宋_GB2312" w:hAnsi="仿宋_GB2312" w:eastAsia="仿宋_GB2312" w:cs="仿宋_GB2312"/>
          <w:kern w:val="2"/>
          <w:sz w:val="32"/>
          <w:szCs w:val="32"/>
          <w:lang w:val="en-US" w:eastAsia="zh-CN" w:bidi="ar-SA"/>
        </w:rPr>
        <w:t>；</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（三）《住房和城乡建设部关于扎实有序推进城市更新工作的通知》</w:t>
      </w:r>
      <w:r>
        <w:rPr>
          <w:rFonts w:hint="default" w:ascii="仿宋_GB2312" w:hAnsi="仿宋_GB2312" w:eastAsia="仿宋_GB2312" w:cs="仿宋_GB2312"/>
          <w:kern w:val="2"/>
          <w:sz w:val="32"/>
          <w:szCs w:val="32"/>
          <w:lang w:val="en-US" w:eastAsia="zh-CN" w:bidi="ar-SA"/>
        </w:rPr>
        <w:t>（建科〔202</w:t>
      </w:r>
      <w:r>
        <w:rPr>
          <w:rFonts w:hint="eastAsia" w:ascii="仿宋_GB2312" w:hAnsi="仿宋_GB2312" w:eastAsia="仿宋_GB2312" w:cs="仿宋_GB2312"/>
          <w:kern w:val="2"/>
          <w:sz w:val="32"/>
          <w:szCs w:val="32"/>
          <w:lang w:val="en-US" w:eastAsia="zh-CN" w:bidi="ar-SA"/>
        </w:rPr>
        <w:t>3</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30</w:t>
      </w:r>
      <w:r>
        <w:rPr>
          <w:rFonts w:hint="default" w:ascii="仿宋_GB2312" w:hAnsi="仿宋_GB2312" w:eastAsia="仿宋_GB2312" w:cs="仿宋_GB2312"/>
          <w:kern w:val="2"/>
          <w:sz w:val="32"/>
          <w:szCs w:val="32"/>
          <w:lang w:val="en-US" w:eastAsia="zh-CN" w:bidi="ar-SA"/>
        </w:rPr>
        <w:t>号）</w:t>
      </w:r>
      <w:r>
        <w:rPr>
          <w:rFonts w:hint="eastAsia" w:ascii="仿宋_GB2312" w:hAnsi="仿宋_GB2312" w:eastAsia="仿宋_GB2312" w:cs="仿宋_GB2312"/>
          <w:kern w:val="2"/>
          <w:sz w:val="32"/>
          <w:szCs w:val="32"/>
          <w:lang w:val="en-US" w:eastAsia="zh-CN" w:bidi="ar-SA"/>
        </w:rPr>
        <w:t>；</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（四）《河南省人民政府关于印发河南省“十四五”城市更新和城乡人居环境建设规划的通知》</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豫政</w:t>
      </w:r>
      <w:r>
        <w:rPr>
          <w:rFonts w:hint="default" w:ascii="仿宋_GB2312" w:hAnsi="仿宋_GB2312" w:eastAsia="仿宋_GB2312" w:cs="仿宋_GB2312"/>
          <w:kern w:val="2"/>
          <w:sz w:val="32"/>
          <w:szCs w:val="32"/>
          <w:lang w:val="en-US" w:eastAsia="zh-CN" w:bidi="ar-SA"/>
        </w:rPr>
        <w:t>〔202</w:t>
      </w:r>
      <w:r>
        <w:rPr>
          <w:rFonts w:hint="eastAsia" w:ascii="仿宋_GB2312" w:hAnsi="仿宋_GB2312" w:eastAsia="仿宋_GB2312" w:cs="仿宋_GB2312"/>
          <w:kern w:val="2"/>
          <w:sz w:val="32"/>
          <w:szCs w:val="32"/>
          <w:lang w:val="en-US" w:eastAsia="zh-CN" w:bidi="ar-SA"/>
        </w:rPr>
        <w:t>1</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43</w:t>
      </w:r>
      <w:r>
        <w:rPr>
          <w:rFonts w:hint="default" w:ascii="仿宋_GB2312" w:hAnsi="仿宋_GB2312" w:eastAsia="仿宋_GB2312" w:cs="仿宋_GB2312"/>
          <w:kern w:val="2"/>
          <w:sz w:val="32"/>
          <w:szCs w:val="32"/>
          <w:lang w:val="en-US" w:eastAsia="zh-CN" w:bidi="ar-SA"/>
        </w:rPr>
        <w:t>号）</w:t>
      </w:r>
      <w:r>
        <w:rPr>
          <w:rFonts w:hint="eastAsia" w:ascii="仿宋_GB2312" w:hAnsi="仿宋_GB2312" w:eastAsia="仿宋_GB2312" w:cs="仿宋_GB2312"/>
          <w:kern w:val="2"/>
          <w:sz w:val="32"/>
          <w:szCs w:val="32"/>
          <w:lang w:val="en-US" w:eastAsia="zh-CN" w:bidi="ar-SA"/>
        </w:rPr>
        <w:t>；</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（五）郑州市、商丘市等省内城市出台的关于城市更新的实施方案等。</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三、起草过程</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我局依据《</w:t>
      </w:r>
      <w:r>
        <w:rPr>
          <w:rFonts w:hint="eastAsia" w:ascii="仿宋_GB2312" w:hAnsi="仿宋_GB2312" w:eastAsia="仿宋_GB2312" w:cs="仿宋_GB2312"/>
          <w:kern w:val="2"/>
          <w:sz w:val="32"/>
          <w:szCs w:val="32"/>
          <w:lang w:val="en-US" w:eastAsia="zh-CN" w:bidi="ar-SA"/>
        </w:rPr>
        <w:t>住房和城乡建设部关于扎实有序推进城市更新工作的通知</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32"/>
          <w:lang w:val="en-US" w:eastAsia="zh-CN" w:bidi="ar-SA"/>
        </w:rPr>
        <w:t>河南省人民政府关于印发河南省“十四五”城市更新和城乡人居环境建设规划的通知</w:t>
      </w:r>
      <w:r>
        <w:rPr>
          <w:rFonts w:hint="eastAsia" w:ascii="仿宋_GB2312" w:hAnsi="仿宋_GB2312" w:eastAsia="仿宋_GB2312" w:cs="仿宋_GB2312"/>
          <w:sz w:val="32"/>
          <w:szCs w:val="32"/>
        </w:rPr>
        <w:t>》等有关文件，参考了</w:t>
      </w:r>
      <w:r>
        <w:rPr>
          <w:rFonts w:hint="eastAsia" w:ascii="仿宋_GB2312" w:hAnsi="仿宋_GB2312" w:eastAsia="仿宋_GB2312" w:cs="仿宋_GB2312"/>
          <w:color w:val="auto"/>
          <w:sz w:val="32"/>
          <w:szCs w:val="32"/>
        </w:rPr>
        <w:t>郑州、</w:t>
      </w:r>
      <w:r>
        <w:rPr>
          <w:rFonts w:hint="eastAsia" w:ascii="仿宋_GB2312" w:hAnsi="仿宋_GB2312" w:eastAsia="仿宋_GB2312" w:cs="仿宋_GB2312"/>
          <w:color w:val="auto"/>
          <w:sz w:val="32"/>
          <w:szCs w:val="32"/>
          <w:lang w:eastAsia="zh-CN"/>
        </w:rPr>
        <w:t>商丘</w:t>
      </w:r>
      <w:r>
        <w:rPr>
          <w:rFonts w:hint="eastAsia" w:ascii="仿宋_GB2312" w:hAnsi="仿宋_GB2312" w:eastAsia="仿宋_GB2312" w:cs="仿宋_GB2312"/>
          <w:sz w:val="32"/>
          <w:szCs w:val="32"/>
        </w:rPr>
        <w:t>等城市的经验做法，并结合周口实际，于20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月组织人员起草了《周口市城市更新实施办法</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sz w:val="32"/>
          <w:szCs w:val="32"/>
        </w:rPr>
        <w:t>》</w:t>
      </w:r>
      <w:r>
        <w:rPr>
          <w:rFonts w:hint="eastAsia" w:ascii="Times New Roman" w:hAnsi="Times New Roman" w:eastAsia="仿宋_GB2312"/>
          <w:sz w:val="32"/>
          <w:szCs w:val="32"/>
          <w:lang w:eastAsia="zh-CN"/>
        </w:rPr>
        <w:t>（初</w:t>
      </w:r>
      <w:r>
        <w:rPr>
          <w:rFonts w:ascii="Times New Roman" w:hAnsi="Times New Roman" w:eastAsia="仿宋_GB2312"/>
          <w:sz w:val="32"/>
          <w:szCs w:val="32"/>
        </w:rPr>
        <w:t>稿</w:t>
      </w:r>
      <w:r>
        <w:rPr>
          <w:rFonts w:hint="eastAsia" w:ascii="Times New Roman" w:hAnsi="Times New Roman" w:eastAsia="仿宋_GB2312"/>
          <w:sz w:val="32"/>
          <w:szCs w:val="32"/>
          <w:lang w:eastAsia="zh-CN"/>
        </w:rPr>
        <w:t>）</w:t>
      </w:r>
      <w:r>
        <w:rPr>
          <w:rFonts w:hint="eastAsia" w:ascii="仿宋_GB2312" w:hAnsi="仿宋_GB2312" w:eastAsia="仿宋_GB2312" w:cs="仿宋_GB2312"/>
          <w:sz w:val="32"/>
          <w:szCs w:val="32"/>
        </w:rPr>
        <w:t>，</w:t>
      </w:r>
      <w:r>
        <w:rPr>
          <w:rFonts w:ascii="Times New Roman" w:hAnsi="Times New Roman" w:eastAsia="仿宋_GB2312"/>
          <w:sz w:val="32"/>
          <w:szCs w:val="32"/>
        </w:rPr>
        <w:t>经多次讨论和修改，征求</w:t>
      </w:r>
      <w:r>
        <w:rPr>
          <w:rFonts w:hint="eastAsia" w:ascii="Times New Roman" w:hAnsi="Times New Roman" w:eastAsia="仿宋_GB2312"/>
          <w:sz w:val="32"/>
          <w:szCs w:val="32"/>
          <w:lang w:eastAsia="zh-CN"/>
        </w:rPr>
        <w:t>局</w:t>
      </w:r>
      <w:r>
        <w:rPr>
          <w:rFonts w:ascii="Times New Roman" w:hAnsi="Times New Roman" w:eastAsia="仿宋_GB2312"/>
          <w:sz w:val="32"/>
          <w:szCs w:val="32"/>
        </w:rPr>
        <w:t>相关</w:t>
      </w:r>
      <w:r>
        <w:rPr>
          <w:rFonts w:hint="eastAsia" w:ascii="Times New Roman" w:hAnsi="Times New Roman" w:eastAsia="仿宋_GB2312"/>
          <w:sz w:val="32"/>
          <w:szCs w:val="32"/>
          <w:lang w:eastAsia="zh-CN"/>
        </w:rPr>
        <w:t>科室</w:t>
      </w:r>
      <w:r>
        <w:rPr>
          <w:rFonts w:ascii="Times New Roman" w:hAnsi="Times New Roman" w:eastAsia="仿宋_GB2312"/>
          <w:sz w:val="32"/>
          <w:szCs w:val="32"/>
        </w:rPr>
        <w:t>意见并修改完善，</w:t>
      </w:r>
      <w:r>
        <w:rPr>
          <w:rFonts w:hint="eastAsia" w:ascii="仿宋_GB2312" w:hAnsi="仿宋_GB2312" w:eastAsia="仿宋_GB2312" w:cs="仿宋_GB2312"/>
          <w:sz w:val="32"/>
          <w:szCs w:val="32"/>
        </w:rPr>
        <w:t>2023年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初</w:t>
      </w:r>
      <w:r>
        <w:rPr>
          <w:rFonts w:hint="eastAsia" w:ascii="仿宋_GB2312" w:hAnsi="仿宋_GB2312" w:eastAsia="仿宋_GB2312" w:cs="仿宋_GB2312"/>
          <w:sz w:val="32"/>
          <w:szCs w:val="32"/>
        </w:rPr>
        <w:t>形成《周口市城市更新实施办法</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征求意见稿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起草过程中，</w:t>
      </w:r>
      <w:r>
        <w:rPr>
          <w:rFonts w:hint="eastAsia" w:ascii="仿宋_GB2312" w:hAnsi="仿宋_GB2312" w:eastAsia="仿宋_GB2312" w:cs="仿宋_GB2312"/>
          <w:sz w:val="32"/>
          <w:szCs w:val="32"/>
          <w:lang w:eastAsia="zh-CN"/>
        </w:rPr>
        <w:t>我局</w:t>
      </w:r>
      <w:r>
        <w:rPr>
          <w:rFonts w:hint="eastAsia" w:ascii="仿宋_GB2312" w:hAnsi="仿宋_GB2312" w:eastAsia="仿宋_GB2312" w:cs="仿宋_GB2312"/>
          <w:sz w:val="32"/>
          <w:szCs w:val="32"/>
        </w:rPr>
        <w:t>高度重视，</w:t>
      </w:r>
      <w:r>
        <w:rPr>
          <w:rFonts w:hint="eastAsia" w:ascii="仿宋_GB2312" w:hAnsi="仿宋_GB2312" w:eastAsia="仿宋_GB2312" w:cs="仿宋_GB2312"/>
          <w:sz w:val="32"/>
          <w:szCs w:val="32"/>
          <w:lang w:eastAsia="zh-CN"/>
        </w:rPr>
        <w:t>局党组书记、局长陈心宇</w:t>
      </w:r>
      <w:r>
        <w:rPr>
          <w:rFonts w:hint="eastAsia" w:ascii="仿宋_GB2312" w:hAnsi="仿宋_GB2312" w:eastAsia="仿宋_GB2312" w:cs="仿宋_GB2312"/>
          <w:sz w:val="32"/>
          <w:szCs w:val="32"/>
        </w:rPr>
        <w:t>多次听取起草情况汇报并提出具体要求。</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党组成员、副</w:t>
      </w:r>
      <w:r>
        <w:rPr>
          <w:rFonts w:hint="eastAsia" w:ascii="仿宋_GB2312" w:hAnsi="仿宋_GB2312" w:eastAsia="仿宋_GB2312" w:cs="仿宋_GB2312"/>
          <w:sz w:val="32"/>
          <w:szCs w:val="32"/>
          <w:lang w:eastAsia="zh-CN"/>
        </w:rPr>
        <w:t>局长张磊</w:t>
      </w:r>
      <w:r>
        <w:rPr>
          <w:rFonts w:hint="eastAsia" w:ascii="仿宋_GB2312" w:hAnsi="仿宋_GB2312" w:eastAsia="仿宋_GB2312" w:cs="仿宋_GB2312"/>
          <w:sz w:val="32"/>
          <w:szCs w:val="32"/>
        </w:rPr>
        <w:t>多次组织讨论修改，并</w:t>
      </w:r>
      <w:r>
        <w:rPr>
          <w:rFonts w:hint="eastAsia" w:ascii="仿宋_GB2312" w:hAnsi="仿宋_GB2312" w:eastAsia="仿宋_GB2312" w:cs="仿宋_GB2312"/>
          <w:sz w:val="32"/>
          <w:szCs w:val="32"/>
          <w:lang w:eastAsia="zh-CN"/>
        </w:rPr>
        <w:t>安排相关科室业务骨干</w:t>
      </w:r>
      <w:r>
        <w:rPr>
          <w:rFonts w:hint="eastAsia" w:ascii="仿宋_GB2312" w:hAnsi="仿宋_GB2312" w:eastAsia="仿宋_GB2312" w:cs="仿宋_GB2312"/>
          <w:sz w:val="32"/>
          <w:szCs w:val="32"/>
        </w:rPr>
        <w:t>到</w:t>
      </w:r>
      <w:r>
        <w:rPr>
          <w:rFonts w:hint="eastAsia" w:ascii="仿宋_GB2312" w:hAnsi="仿宋_GB2312" w:eastAsia="仿宋_GB2312" w:cs="仿宋_GB2312"/>
          <w:sz w:val="32"/>
          <w:szCs w:val="32"/>
          <w:lang w:eastAsia="zh-CN"/>
        </w:rPr>
        <w:t>先进地市</w:t>
      </w:r>
      <w:r>
        <w:rPr>
          <w:rFonts w:hint="eastAsia" w:ascii="仿宋_GB2312" w:hAnsi="仿宋_GB2312" w:eastAsia="仿宋_GB2312" w:cs="仿宋_GB2312"/>
          <w:sz w:val="32"/>
          <w:szCs w:val="32"/>
        </w:rPr>
        <w:t>开展调研</w:t>
      </w:r>
      <w:r>
        <w:rPr>
          <w:rFonts w:hint="eastAsia" w:ascii="仿宋_GB2312" w:hAnsi="仿宋_GB2312" w:eastAsia="仿宋_GB2312" w:cs="仿宋_GB2312"/>
          <w:sz w:val="32"/>
          <w:szCs w:val="32"/>
          <w:lang w:eastAsia="zh-CN"/>
        </w:rPr>
        <w:t>学习</w:t>
      </w:r>
      <w:r>
        <w:rPr>
          <w:rFonts w:hint="eastAsia" w:ascii="仿宋_GB2312" w:hAnsi="仿宋_GB2312" w:eastAsia="仿宋_GB2312" w:cs="仿宋_GB2312"/>
          <w:sz w:val="32"/>
          <w:szCs w:val="32"/>
        </w:rPr>
        <w:t>。2023年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通过</w:t>
      </w:r>
      <w:r>
        <w:rPr>
          <w:rFonts w:hint="eastAsia" w:ascii="仿宋_GB2312" w:hAnsi="仿宋_GB2312" w:eastAsia="仿宋_GB2312" w:cs="仿宋_GB2312"/>
          <w:sz w:val="32"/>
          <w:szCs w:val="32"/>
        </w:rPr>
        <w:t>认真学习、研究国家及有关省市做法和经验，吸收调研成</w:t>
      </w:r>
      <w:bookmarkStart w:id="0" w:name="_GoBack"/>
      <w:bookmarkEnd w:id="0"/>
      <w:r>
        <w:rPr>
          <w:rFonts w:hint="eastAsia" w:ascii="仿宋_GB2312" w:hAnsi="仿宋_GB2312" w:eastAsia="仿宋_GB2312" w:cs="仿宋_GB2312"/>
          <w:sz w:val="32"/>
          <w:szCs w:val="32"/>
        </w:rPr>
        <w:t>果，组织修改完善，形成《周口市城市更新实施办法</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初稿</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，初稿</w:t>
      </w:r>
      <w:r>
        <w:rPr>
          <w:rFonts w:hint="eastAsia" w:ascii="仿宋_GB2312" w:hAnsi="仿宋_GB2312" w:eastAsia="仿宋_GB2312" w:cs="仿宋_GB2312"/>
          <w:sz w:val="32"/>
          <w:szCs w:val="32"/>
        </w:rPr>
        <w:t>征求了</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相关</w:t>
      </w:r>
      <w:r>
        <w:rPr>
          <w:rFonts w:hint="eastAsia" w:ascii="仿宋_GB2312" w:hAnsi="仿宋_GB2312" w:eastAsia="仿宋_GB2312" w:cs="仿宋_GB2312"/>
          <w:sz w:val="32"/>
          <w:szCs w:val="32"/>
          <w:lang w:eastAsia="zh-CN"/>
        </w:rPr>
        <w:t>科室</w:t>
      </w:r>
      <w:r>
        <w:rPr>
          <w:rFonts w:hint="eastAsia" w:ascii="仿宋_GB2312" w:hAnsi="仿宋_GB2312" w:eastAsia="仿宋_GB2312" w:cs="仿宋_GB2312"/>
          <w:sz w:val="32"/>
          <w:szCs w:val="32"/>
        </w:rPr>
        <w:t>意见并修改完善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w:t>
      </w:r>
      <w:r>
        <w:rPr>
          <w:rFonts w:hint="eastAsia" w:ascii="仿宋_GB2312" w:hAnsi="仿宋_GB2312" w:eastAsia="仿宋_GB2312" w:cs="仿宋_GB2312"/>
          <w:sz w:val="32"/>
          <w:szCs w:val="32"/>
          <w:lang w:eastAsia="zh-CN"/>
        </w:rPr>
        <w:t>实施方案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征求意见稿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16日</w:t>
      </w: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eastAsia="zh-CN"/>
        </w:rPr>
        <w:t>社会</w:t>
      </w:r>
      <w:r>
        <w:rPr>
          <w:rFonts w:hint="eastAsia" w:ascii="仿宋_GB2312" w:hAnsi="仿宋_GB2312" w:eastAsia="仿宋_GB2312" w:cs="仿宋_GB2312"/>
          <w:sz w:val="32"/>
          <w:szCs w:val="32"/>
        </w:rPr>
        <w:t>征求意见</w:t>
      </w:r>
      <w:r>
        <w:rPr>
          <w:rFonts w:hint="eastAsia" w:ascii="仿宋_GB2312" w:hAnsi="仿宋_GB2312" w:eastAsia="仿宋_GB2312" w:cs="仿宋_GB2312"/>
          <w:sz w:val="32"/>
          <w:szCs w:val="32"/>
          <w:lang w:eastAsia="zh-CN"/>
        </w:rPr>
        <w:t>。</w:t>
      </w:r>
    </w:p>
    <w:p>
      <w:pPr>
        <w:keepNext w:val="0"/>
        <w:keepLines w:val="0"/>
        <w:pageBreakBefore w:val="0"/>
        <w:kinsoku/>
        <w:wordWrap/>
        <w:topLinePunct w:val="0"/>
        <w:autoSpaceDE/>
        <w:autoSpaceDN/>
        <w:bidi w:val="0"/>
        <w:adjustRightInd/>
        <w:snapToGrid w:val="0"/>
        <w:spacing w:line="600" w:lineRule="exact"/>
        <w:ind w:firstLine="924" w:firstLineChars="300"/>
        <w:textAlignment w:val="auto"/>
        <w:rPr>
          <w:rFonts w:ascii="仿宋" w:hAnsi="仿宋" w:eastAsia="仿宋"/>
          <w:sz w:val="32"/>
          <w:szCs w:val="32"/>
        </w:rPr>
      </w:pPr>
      <w:r>
        <w:rPr>
          <w:rFonts w:hint="eastAsia" w:ascii="黑体" w:hAnsi="黑体" w:eastAsia="黑体" w:cs="黑体"/>
          <w:spacing w:val="-6"/>
          <w:sz w:val="32"/>
          <w:szCs w:val="32"/>
        </w:rPr>
        <w:t>四、主要内容</w:t>
      </w:r>
    </w:p>
    <w:p>
      <w:pPr>
        <w:keepNext w:val="0"/>
        <w:keepLines w:val="0"/>
        <w:pageBreakBefore w:val="0"/>
        <w:kinsoku/>
        <w:wordWrap/>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sz w:val="32"/>
          <w:szCs w:val="32"/>
        </w:rPr>
        <w:t>周口市城市更新实施办法</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kern w:val="2"/>
          <w:sz w:val="32"/>
          <w:szCs w:val="32"/>
          <w:lang w:val="en-US" w:eastAsia="zh-CN" w:bidi="ar-SA"/>
        </w:rPr>
        <w:t>》共分9部分。</w:t>
      </w:r>
      <w:r>
        <w:rPr>
          <w:rFonts w:hint="eastAsia" w:ascii="仿宋_GB2312" w:hAnsi="仿宋_GB2312" w:eastAsia="仿宋_GB2312" w:cs="仿宋_GB2312"/>
          <w:b/>
          <w:bCs/>
          <w:kern w:val="2"/>
          <w:sz w:val="32"/>
          <w:szCs w:val="32"/>
          <w:lang w:val="en-US" w:eastAsia="zh-CN" w:bidi="ar-SA"/>
        </w:rPr>
        <w:t>第一部分</w:t>
      </w:r>
      <w:r>
        <w:rPr>
          <w:rFonts w:hint="eastAsia" w:ascii="仿宋_GB2312" w:hAnsi="仿宋_GB2312" w:eastAsia="仿宋_GB2312" w:cs="仿宋_GB2312"/>
          <w:kern w:val="2"/>
          <w:sz w:val="32"/>
          <w:szCs w:val="32"/>
          <w:lang w:val="en-US" w:eastAsia="zh-CN" w:bidi="ar-SA"/>
        </w:rPr>
        <w:t>总则共3条，主要阐明起草本办法的背景意义、我市城市更新的主要更新内容、更新的原则；</w:t>
      </w:r>
      <w:r>
        <w:rPr>
          <w:rFonts w:hint="eastAsia" w:ascii="仿宋_GB2312" w:hAnsi="仿宋_GB2312" w:eastAsia="仿宋_GB2312" w:cs="仿宋_GB2312"/>
          <w:b/>
          <w:bCs/>
          <w:kern w:val="2"/>
          <w:sz w:val="32"/>
          <w:szCs w:val="32"/>
          <w:lang w:val="en-US" w:eastAsia="zh-CN" w:bidi="ar-SA"/>
        </w:rPr>
        <w:t>第二部分</w:t>
      </w:r>
      <w:r>
        <w:rPr>
          <w:rFonts w:hint="eastAsia" w:ascii="仿宋_GB2312" w:hAnsi="仿宋_GB2312" w:eastAsia="仿宋_GB2312" w:cs="仿宋_GB2312"/>
          <w:kern w:val="2"/>
          <w:sz w:val="32"/>
          <w:szCs w:val="32"/>
          <w:lang w:val="en-US" w:eastAsia="zh-CN" w:bidi="ar-SA"/>
        </w:rPr>
        <w:t>工作机制共6条，明确了我市城市更新的组织领导、各部门职责以及实施主体；</w:t>
      </w:r>
      <w:r>
        <w:rPr>
          <w:rFonts w:hint="eastAsia" w:ascii="仿宋_GB2312" w:hAnsi="仿宋_GB2312" w:eastAsia="仿宋_GB2312" w:cs="仿宋_GB2312"/>
          <w:b/>
          <w:bCs/>
          <w:kern w:val="2"/>
          <w:sz w:val="32"/>
          <w:szCs w:val="32"/>
          <w:lang w:val="en-US" w:eastAsia="zh-CN" w:bidi="ar-SA"/>
        </w:rPr>
        <w:t>第三部分</w:t>
      </w:r>
      <w:r>
        <w:rPr>
          <w:rFonts w:hint="eastAsia" w:ascii="仿宋_GB2312" w:hAnsi="仿宋_GB2312" w:eastAsia="仿宋_GB2312" w:cs="仿宋_GB2312"/>
          <w:kern w:val="2"/>
          <w:sz w:val="32"/>
          <w:szCs w:val="32"/>
          <w:lang w:val="en-US" w:eastAsia="zh-CN" w:bidi="ar-SA"/>
        </w:rPr>
        <w:t>城市体检共2条，落实住建部工作要求，通过开展城市体检工作，建立与实施城市更新行动相适应的城市规划建设管理体制机制和政策体系；</w:t>
      </w:r>
      <w:r>
        <w:rPr>
          <w:rFonts w:hint="eastAsia" w:ascii="仿宋_GB2312" w:hAnsi="仿宋_GB2312" w:eastAsia="仿宋_GB2312" w:cs="仿宋_GB2312"/>
          <w:b/>
          <w:bCs/>
          <w:kern w:val="2"/>
          <w:sz w:val="32"/>
          <w:szCs w:val="32"/>
          <w:lang w:val="en-US" w:eastAsia="zh-CN" w:bidi="ar-SA"/>
        </w:rPr>
        <w:t>第四部分</w:t>
      </w:r>
      <w:r>
        <w:rPr>
          <w:rFonts w:hint="eastAsia" w:ascii="仿宋_GB2312" w:hAnsi="仿宋_GB2312" w:eastAsia="仿宋_GB2312" w:cs="仿宋_GB2312"/>
          <w:b w:val="0"/>
          <w:bCs w:val="0"/>
          <w:kern w:val="2"/>
          <w:sz w:val="32"/>
          <w:szCs w:val="32"/>
          <w:lang w:val="en-US" w:eastAsia="zh-CN" w:bidi="ar-SA"/>
        </w:rPr>
        <w:t>规划和计划</w:t>
      </w:r>
      <w:r>
        <w:rPr>
          <w:rFonts w:hint="eastAsia" w:ascii="仿宋_GB2312" w:hAnsi="仿宋_GB2312" w:eastAsia="仿宋_GB2312" w:cs="仿宋_GB2312"/>
          <w:kern w:val="2"/>
          <w:sz w:val="32"/>
          <w:szCs w:val="32"/>
          <w:lang w:val="en-US" w:eastAsia="zh-CN" w:bidi="ar-SA"/>
        </w:rPr>
        <w:t>共7条，将城市更新专项规划、城市更新片区规划、</w:t>
      </w:r>
      <w:r>
        <w:rPr>
          <w:rFonts w:hint="eastAsia" w:ascii="方正仿宋_GBK" w:hAnsi="方正仿宋_GBK" w:eastAsia="方正仿宋_GBK" w:cs="方正仿宋_GBK"/>
          <w:color w:val="000000"/>
          <w:kern w:val="2"/>
          <w:sz w:val="32"/>
          <w:szCs w:val="32"/>
          <w:lang w:val="en-US" w:eastAsia="zh-CN" w:bidi="ar-SA"/>
        </w:rPr>
        <w:t>城市更新技术导和城市更新年度计划则</w:t>
      </w:r>
      <w:r>
        <w:rPr>
          <w:rFonts w:hint="eastAsia" w:ascii="仿宋_GB2312" w:hAnsi="仿宋_GB2312" w:eastAsia="仿宋_GB2312" w:cs="仿宋_GB2312"/>
          <w:kern w:val="2"/>
          <w:sz w:val="32"/>
          <w:szCs w:val="32"/>
          <w:lang w:val="en-US" w:eastAsia="zh-CN" w:bidi="ar-SA"/>
        </w:rPr>
        <w:t>作为我市开展城市更新工作的指引，明确了编制主体、内容等；</w:t>
      </w:r>
      <w:r>
        <w:rPr>
          <w:rFonts w:hint="eastAsia" w:ascii="仿宋_GB2312" w:hAnsi="仿宋_GB2312" w:eastAsia="仿宋_GB2312" w:cs="仿宋_GB2312"/>
          <w:b/>
          <w:bCs/>
          <w:kern w:val="2"/>
          <w:sz w:val="32"/>
          <w:szCs w:val="32"/>
          <w:lang w:val="en-US" w:eastAsia="zh-CN" w:bidi="ar-SA"/>
        </w:rPr>
        <w:t>第五部分</w:t>
      </w:r>
      <w:r>
        <w:rPr>
          <w:rFonts w:hint="eastAsia" w:ascii="仿宋_GB2312" w:hAnsi="仿宋_GB2312" w:eastAsia="仿宋_GB2312" w:cs="仿宋_GB2312"/>
          <w:kern w:val="2"/>
          <w:sz w:val="32"/>
          <w:szCs w:val="32"/>
          <w:lang w:val="en-US" w:eastAsia="zh-CN" w:bidi="ar-SA"/>
        </w:rPr>
        <w:t>项目实施共9条，主要明确了城市更新项目主要内容等；</w:t>
      </w:r>
      <w:r>
        <w:rPr>
          <w:rFonts w:hint="eastAsia" w:ascii="仿宋_GB2312" w:hAnsi="仿宋_GB2312" w:eastAsia="仿宋_GB2312" w:cs="仿宋_GB2312"/>
          <w:b/>
          <w:bCs/>
          <w:kern w:val="2"/>
          <w:sz w:val="32"/>
          <w:szCs w:val="32"/>
          <w:lang w:val="en-US" w:eastAsia="zh-CN" w:bidi="ar-SA"/>
        </w:rPr>
        <w:t>第六部分</w:t>
      </w:r>
      <w:r>
        <w:rPr>
          <w:rFonts w:hint="eastAsia" w:ascii="仿宋_GB2312" w:hAnsi="仿宋_GB2312" w:eastAsia="仿宋_GB2312" w:cs="仿宋_GB2312"/>
          <w:kern w:val="2"/>
          <w:sz w:val="32"/>
          <w:szCs w:val="32"/>
          <w:lang w:val="en-US" w:eastAsia="zh-CN" w:bidi="ar-SA"/>
        </w:rPr>
        <w:t>资金筹措共7条，明确了多元化资金筹措渠道；</w:t>
      </w:r>
      <w:r>
        <w:rPr>
          <w:rFonts w:hint="eastAsia" w:ascii="仿宋_GB2312" w:hAnsi="仿宋_GB2312" w:eastAsia="仿宋_GB2312" w:cs="仿宋_GB2312"/>
          <w:b/>
          <w:bCs/>
          <w:kern w:val="2"/>
          <w:sz w:val="32"/>
          <w:szCs w:val="32"/>
          <w:lang w:val="en-US" w:eastAsia="zh-CN" w:bidi="ar-SA"/>
        </w:rPr>
        <w:t>第七部分</w:t>
      </w:r>
      <w:r>
        <w:rPr>
          <w:rFonts w:hint="eastAsia" w:ascii="仿宋_GB2312" w:hAnsi="仿宋_GB2312" w:eastAsia="仿宋_GB2312" w:cs="仿宋_GB2312"/>
          <w:kern w:val="2"/>
          <w:sz w:val="32"/>
          <w:szCs w:val="32"/>
          <w:lang w:val="en-US" w:eastAsia="zh-CN" w:bidi="ar-SA"/>
        </w:rPr>
        <w:t>政策支持共19条，结合项目推动中遇到的共性难点、卡点问题，重点从规划、土地、产业、审批、税收等方面制定了 19 条支持政策；</w:t>
      </w:r>
      <w:r>
        <w:rPr>
          <w:rFonts w:hint="eastAsia" w:ascii="仿宋_GB2312" w:hAnsi="仿宋_GB2312" w:eastAsia="仿宋_GB2312" w:cs="仿宋_GB2312"/>
          <w:b/>
          <w:bCs/>
          <w:kern w:val="2"/>
          <w:sz w:val="32"/>
          <w:szCs w:val="32"/>
          <w:lang w:val="en-US" w:eastAsia="zh-CN" w:bidi="ar-SA"/>
        </w:rPr>
        <w:t>第八部分</w:t>
      </w:r>
      <w:r>
        <w:rPr>
          <w:rFonts w:hint="eastAsia" w:ascii="仿宋_GB2312" w:hAnsi="仿宋_GB2312" w:eastAsia="仿宋_GB2312" w:cs="仿宋_GB2312"/>
          <w:kern w:val="2"/>
          <w:sz w:val="32"/>
          <w:szCs w:val="32"/>
          <w:lang w:val="en-US" w:eastAsia="zh-CN" w:bidi="ar-SA"/>
        </w:rPr>
        <w:t>保障措施共4条，明确了专班工作机制、宣传引导、监督考核机制、监督管理机制等方面内容；</w:t>
      </w:r>
      <w:r>
        <w:rPr>
          <w:rFonts w:hint="eastAsia" w:ascii="仿宋_GB2312" w:hAnsi="仿宋_GB2312" w:eastAsia="仿宋_GB2312" w:cs="仿宋_GB2312"/>
          <w:b/>
          <w:bCs/>
          <w:kern w:val="2"/>
          <w:sz w:val="32"/>
          <w:szCs w:val="32"/>
          <w:lang w:val="en-US" w:eastAsia="zh-CN" w:bidi="ar-SA"/>
        </w:rPr>
        <w:t>第九部分</w:t>
      </w:r>
      <w:r>
        <w:rPr>
          <w:rFonts w:hint="eastAsia" w:ascii="仿宋_GB2312" w:hAnsi="仿宋_GB2312" w:eastAsia="仿宋_GB2312" w:cs="仿宋_GB2312"/>
          <w:b w:val="0"/>
          <w:bCs w:val="0"/>
          <w:kern w:val="2"/>
          <w:sz w:val="32"/>
          <w:szCs w:val="32"/>
          <w:lang w:val="en-US" w:eastAsia="zh-CN" w:bidi="ar-SA"/>
        </w:rPr>
        <w:t>附则共2条，明确了相关部门要及时出台相关配套政策以及文件的施行时间。</w:t>
      </w:r>
    </w:p>
    <w:p>
      <w:pPr>
        <w:pStyle w:val="7"/>
        <w:keepNext w:val="0"/>
        <w:keepLines w:val="0"/>
        <w:pageBreakBefore w:val="0"/>
        <w:kinsoku/>
        <w:wordWrap/>
        <w:overflowPunct/>
        <w:topLinePunct w:val="0"/>
        <w:autoSpaceDE/>
        <w:autoSpaceDN/>
        <w:bidi w:val="0"/>
        <w:adjustRightInd/>
        <w:snapToGrid w:val="0"/>
        <w:spacing w:after="0" w:afterLines="0" w:line="600" w:lineRule="exact"/>
        <w:ind w:firstLine="700" w:firstLineChars="219"/>
        <w:textAlignment w:val="auto"/>
        <w:rPr>
          <w:rFonts w:ascii="Times New Roman" w:hAnsi="Times New Roman" w:eastAsia="黑体" w:cs="Times New Roman"/>
        </w:rPr>
      </w:pPr>
      <w:r>
        <w:rPr>
          <w:rFonts w:hint="eastAsia" w:ascii="Times New Roman" w:hAnsi="Times New Roman" w:eastAsia="黑体" w:cs="Times New Roman"/>
          <w:lang w:eastAsia="zh-CN"/>
        </w:rPr>
        <w:t>五</w:t>
      </w:r>
      <w:r>
        <w:rPr>
          <w:rFonts w:ascii="Times New Roman" w:hAnsi="Times New Roman" w:eastAsia="黑体" w:cs="Times New Roman"/>
        </w:rPr>
        <w:t>、工作建议</w:t>
      </w:r>
    </w:p>
    <w:p>
      <w:pPr>
        <w:pStyle w:val="24"/>
        <w:keepNext w:val="0"/>
        <w:keepLines w:val="0"/>
        <w:pageBreakBefore w:val="0"/>
        <w:kinsoku/>
        <w:wordWrap/>
        <w:topLinePunct w:val="0"/>
        <w:autoSpaceDE/>
        <w:autoSpaceDN/>
        <w:bidi w:val="0"/>
        <w:adjustRightInd/>
        <w:snapToGrid w:val="0"/>
        <w:spacing w:after="0" w:line="600" w:lineRule="exact"/>
        <w:ind w:firstLine="640" w:firstLineChars="200"/>
        <w:textAlignment w:val="auto"/>
        <w:rPr>
          <w:rFonts w:ascii="仿宋" w:hAnsi="仿宋" w:eastAsia="仿宋"/>
        </w:rPr>
      </w:pPr>
      <w:r>
        <w:rPr>
          <w:rFonts w:hint="eastAsia" w:ascii="仿宋_GB2312" w:hAnsi="仿宋_GB2312" w:eastAsia="仿宋_GB2312" w:cs="仿宋_GB2312"/>
          <w:kern w:val="2"/>
          <w:sz w:val="32"/>
          <w:szCs w:val="32"/>
          <w:lang w:val="en-US" w:eastAsia="zh-CN" w:bidi="ar-SA"/>
        </w:rPr>
        <w:t>建议该《</w:t>
      </w:r>
      <w:r>
        <w:rPr>
          <w:rFonts w:hint="eastAsia" w:ascii="仿宋_GB2312" w:hAnsi="仿宋_GB2312" w:eastAsia="仿宋_GB2312" w:cs="仿宋_GB2312"/>
          <w:sz w:val="32"/>
          <w:szCs w:val="32"/>
        </w:rPr>
        <w:t>周口市城市更新实施办法</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kern w:val="2"/>
          <w:sz w:val="32"/>
          <w:szCs w:val="32"/>
          <w:lang w:val="en-US" w:eastAsia="zh-CN" w:bidi="ar-SA"/>
        </w:rPr>
        <w:t>》经市政府研究后，以市政府办公室名义印发实施</w:t>
      </w:r>
    </w:p>
    <w:p>
      <w:pPr>
        <w:pStyle w:val="24"/>
        <w:keepNext w:val="0"/>
        <w:keepLines w:val="0"/>
        <w:pageBreakBefore w:val="0"/>
        <w:kinsoku/>
        <w:wordWrap/>
        <w:topLinePunct w:val="0"/>
        <w:autoSpaceDE/>
        <w:autoSpaceDN/>
        <w:bidi w:val="0"/>
        <w:adjustRightInd/>
        <w:snapToGrid w:val="0"/>
        <w:spacing w:after="0" w:line="600" w:lineRule="exact"/>
        <w:ind w:firstLine="640" w:firstLineChars="200"/>
        <w:textAlignment w:val="auto"/>
        <w:rPr>
          <w:rFonts w:ascii="仿宋" w:hAnsi="仿宋" w:eastAsia="仿宋"/>
        </w:rPr>
      </w:pPr>
    </w:p>
    <w:p>
      <w:pPr>
        <w:keepNext w:val="0"/>
        <w:keepLines w:val="0"/>
        <w:pageBreakBefore w:val="0"/>
        <w:widowControl w:val="0"/>
        <w:kinsoku/>
        <w:wordWrap/>
        <w:overflowPunct w:val="0"/>
        <w:topLinePunct w:val="0"/>
        <w:autoSpaceDE/>
        <w:autoSpaceDN/>
        <w:bidi w:val="0"/>
        <w:adjustRightInd/>
        <w:snapToGrid w:val="0"/>
        <w:spacing w:before="0" w:line="600" w:lineRule="exact"/>
        <w:ind w:right="0"/>
        <w:jc w:val="both"/>
        <w:textAlignment w:val="auto"/>
        <w:outlineLvl w:val="9"/>
        <w:rPr>
          <w:rFonts w:hint="default" w:ascii="Times New Roman" w:hAnsi="Times New Roman" w:eastAsia="仿宋_GB2312" w:cs="Times New Roman"/>
          <w:color w:val="auto"/>
          <w:spacing w:val="0"/>
          <w:sz w:val="32"/>
          <w:szCs w:val="32"/>
          <w:lang w:val="en-US" w:eastAsia="zh-CN"/>
        </w:rPr>
      </w:pPr>
    </w:p>
    <w:p>
      <w:pPr>
        <w:pStyle w:val="2"/>
        <w:keepNext w:val="0"/>
        <w:keepLines w:val="0"/>
        <w:pageBreakBefore w:val="0"/>
        <w:kinsoku/>
        <w:wordWrap/>
        <w:topLinePunct w:val="0"/>
        <w:autoSpaceDE/>
        <w:autoSpaceDN/>
        <w:bidi w:val="0"/>
        <w:adjustRightInd/>
        <w:snapToGrid w:val="0"/>
        <w:spacing w:line="600" w:lineRule="exact"/>
        <w:textAlignment w:val="auto"/>
        <w:rPr>
          <w:rFonts w:hint="default" w:ascii="Times New Roman" w:hAnsi="Times New Roman" w:eastAsia="仿宋_GB2312" w:cs="Times New Roman"/>
          <w:color w:val="auto"/>
          <w:spacing w:val="0"/>
          <w:sz w:val="32"/>
          <w:szCs w:val="32"/>
          <w:lang w:val="en-US" w:eastAsia="zh-CN"/>
        </w:rPr>
      </w:pPr>
    </w:p>
    <w:p>
      <w:pPr>
        <w:pStyle w:val="2"/>
        <w:keepNext w:val="0"/>
        <w:keepLines w:val="0"/>
        <w:pageBreakBefore w:val="0"/>
        <w:kinsoku/>
        <w:wordWrap/>
        <w:topLinePunct w:val="0"/>
        <w:autoSpaceDE/>
        <w:autoSpaceDN/>
        <w:bidi w:val="0"/>
        <w:adjustRightInd/>
        <w:snapToGrid w:val="0"/>
        <w:spacing w:line="600" w:lineRule="exact"/>
        <w:textAlignment w:val="auto"/>
        <w:rPr>
          <w:rFonts w:hint="default" w:ascii="Times New Roman" w:hAnsi="Times New Roman" w:eastAsia="仿宋_GB2312" w:cs="Times New Roman"/>
          <w:color w:val="auto"/>
          <w:spacing w:val="0"/>
          <w:sz w:val="32"/>
          <w:szCs w:val="32"/>
          <w:lang w:val="en-US" w:eastAsia="zh-CN"/>
        </w:rPr>
      </w:pPr>
    </w:p>
    <w:p>
      <w:pPr>
        <w:pStyle w:val="2"/>
        <w:keepNext w:val="0"/>
        <w:keepLines w:val="0"/>
        <w:pageBreakBefore w:val="0"/>
        <w:kinsoku/>
        <w:wordWrap/>
        <w:topLinePunct w:val="0"/>
        <w:autoSpaceDE/>
        <w:autoSpaceDN/>
        <w:bidi w:val="0"/>
        <w:adjustRightInd/>
        <w:snapToGrid w:val="0"/>
        <w:spacing w:line="600" w:lineRule="exact"/>
        <w:textAlignment w:val="auto"/>
        <w:rPr>
          <w:rFonts w:hint="default" w:ascii="Times New Roman" w:hAnsi="Times New Roman" w:eastAsia="仿宋_GB2312" w:cs="Times New Roman"/>
          <w:color w:val="auto"/>
          <w:spacing w:val="0"/>
          <w:sz w:val="32"/>
          <w:szCs w:val="32"/>
          <w:lang w:val="en-US" w:eastAsia="zh-CN"/>
        </w:rPr>
      </w:pPr>
    </w:p>
    <w:sectPr>
      <w:headerReference r:id="rId5" w:type="first"/>
      <w:footerReference r:id="rId8" w:type="first"/>
      <w:headerReference r:id="rId3" w:type="default"/>
      <w:footerReference r:id="rId6" w:type="default"/>
      <w:headerReference r:id="rId4" w:type="even"/>
      <w:footerReference r:id="rId7" w:type="even"/>
      <w:pgSz w:w="11906" w:h="16838"/>
      <w:pgMar w:top="1984" w:right="1474" w:bottom="1871" w:left="1588" w:header="851" w:footer="992" w:gutter="0"/>
      <w:pgNumType w:fmt="decimal"/>
      <w:cols w:space="0" w:num="1"/>
      <w:rtlGutter w:val="0"/>
      <w:docGrid w:type="lines" w:linePitch="32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8" w:usb3="00000000" w:csb0="400001FF" w:csb1="FFFF0000"/>
  </w:font>
  <w:font w:name="宋体">
    <w:altName w:val="方正书宋_GBK"/>
    <w:panose1 w:val="00000000000000000000"/>
    <w:charset w:val="86"/>
    <w:family w:val="auto"/>
    <w:pitch w:val="default"/>
    <w:sig w:usb0="00000000" w:usb1="0000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Tahoma">
    <w:altName w:val="DejaVu Sans"/>
    <w:panose1 w:val="020B0604030504040204"/>
    <w:charset w:val="01"/>
    <w:family w:val="auto"/>
    <w:pitch w:val="default"/>
    <w:sig w:usb0="00000000" w:usb1="00000000" w:usb2="00000008" w:usb3="00000000" w:csb0="200101FF" w:csb1="20280000"/>
  </w:font>
  <w:font w:name="仿宋_GB2312">
    <w:altName w:val="方正仿宋_GBK"/>
    <w:panose1 w:val="02010609030101010101"/>
    <w:charset w:val="86"/>
    <w:family w:val="auto"/>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300"/>
        <w:tab w:val="clear" w:pos="4153"/>
      </w:tabs>
      <w:spacing w:line="480" w:lineRule="auto"/>
      <w:ind w:leftChars="100" w:right="360" w:firstLine="360"/>
      <w:jc w:val="right"/>
    </w:pPr>
    <w:r>
      <w:rPr>
        <w:rFonts w:hint="eastAsia"/>
        <w:lang w:eastAsia="zh-CN"/>
      </w:rPr>
      <w:tab/>
    </w:r>
    <w:r>
      <w:rPr>
        <w:rFonts w:hint="eastAsia"/>
        <w:lang w:val="en-US" w:eastAsia="zh-CN"/>
      </w:rPr>
      <w:t xml:space="preserve">  </w:t>
    </w:r>
    <w:r>
      <w:rPr>
        <w:rFonts w:hint="eastAsia"/>
        <w:sz w:val="28"/>
        <w:szCs w:val="28"/>
        <w:lang w:eastAsia="zh-CN"/>
      </w:rPr>
      <w:t xml:space="preserve">— </w:t>
    </w: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sz w:val="28"/>
        <w:szCs w:val="28"/>
      </w:rPr>
      <w:t>- 2 -</w:t>
    </w:r>
    <w:r>
      <w:rPr>
        <w:rFonts w:hint="eastAsia"/>
        <w:sz w:val="28"/>
        <w:szCs w:val="28"/>
        <w:lang w:eastAsia="zh-CN"/>
      </w:rPr>
      <w:fldChar w:fldCharType="end"/>
    </w:r>
    <w:r>
      <w:rPr>
        <w:rFonts w:hint="eastAsia"/>
        <w:sz w:val="28"/>
        <w:szCs w:val="28"/>
        <w:lang w:val="en-US" w:eastAsia="zh-CN"/>
      </w:rPr>
      <w:t xml:space="preserve"> </w:t>
    </w:r>
    <w:r>
      <w:rPr>
        <w:rFonts w:hint="eastAsia"/>
        <w:sz w:val="28"/>
        <w:szCs w:val="28"/>
        <w:lang w:eastAsia="zh-CN"/>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posOffset>-114300</wp:posOffset>
              </wp:positionH>
              <wp:positionV relativeFrom="paragraph">
                <wp:posOffset>-370840</wp:posOffset>
              </wp:positionV>
              <wp:extent cx="1224915" cy="40767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224915" cy="4076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jc w:val="center"/>
                            <w:rPr>
                              <w:rFonts w:hint="eastAsia" w:eastAsia="宋体"/>
                              <w:sz w:val="28"/>
                              <w:szCs w:val="28"/>
                              <w:lang w:eastAsia="zh-CN"/>
                            </w:rPr>
                          </w:pPr>
                          <w:r>
                            <w:rPr>
                              <w:rFonts w:hint="eastAsia"/>
                              <w:sz w:val="28"/>
                              <w:szCs w:val="28"/>
                              <w:lang w:eastAsia="zh-CN"/>
                            </w:rPr>
                            <w:t xml:space="preserve">— </w:t>
                          </w: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sz w:val="28"/>
                              <w:szCs w:val="28"/>
                            </w:rPr>
                            <w:t>- 2 -</w:t>
                          </w:r>
                          <w:r>
                            <w:rPr>
                              <w:rFonts w:hint="eastAsia"/>
                              <w:sz w:val="28"/>
                              <w:szCs w:val="28"/>
                              <w:lang w:eastAsia="zh-CN"/>
                            </w:rPr>
                            <w:fldChar w:fldCharType="end"/>
                          </w:r>
                          <w:r>
                            <w:rPr>
                              <w:rFonts w:hint="eastAsia"/>
                              <w:sz w:val="28"/>
                              <w:szCs w:val="28"/>
                              <w:lang w:val="en-US" w:eastAsia="zh-CN"/>
                            </w:rPr>
                            <w:t xml:space="preserve"> </w:t>
                          </w:r>
                          <w:r>
                            <w:rPr>
                              <w:rFonts w:hint="eastAsia"/>
                              <w:sz w:val="28"/>
                              <w:szCs w:val="28"/>
                              <w:lang w:eastAsia="zh-CN"/>
                            </w:rPr>
                            <w:t xml:space="preserve">— </w:t>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left:-9pt;margin-top:-29.2pt;height:32.1pt;width:96.45pt;mso-position-horizontal-relative:margin;z-index:251659264;mso-width-relative:page;mso-height-relative:page;" filled="f" stroked="f" coordsize="21600,21600" o:gfxdata="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CX8PKy2AAAAAkBAAAPAAAAAAAAAAEAIAAAADgAAABkcnMvZG93&#10;bnJldi54bWxQSwECFAAUAAAACACHTuJAXqNpcCMCAAAqBAAADgAAAAAAAAABACAAAAA9AQAAZHJz&#10;L2Uyb0RvYy54bWxQSwUGAAAAAAYABgBZAQAA0gUAAAAA&#10;">
              <v:fill on="f" focussize="0,0"/>
              <v:stroke on="f" weight="0.5pt"/>
              <v:imagedata o:title=""/>
              <o:lock v:ext="edit" aspectratio="f"/>
              <v:textbox inset="0mm,0mm,0mm,0mm">
                <w:txbxContent>
                  <w:p>
                    <w:pPr>
                      <w:snapToGrid w:val="0"/>
                      <w:jc w:val="center"/>
                      <w:rPr>
                        <w:rFonts w:hint="eastAsia" w:eastAsia="宋体"/>
                        <w:sz w:val="28"/>
                        <w:szCs w:val="28"/>
                        <w:lang w:eastAsia="zh-CN"/>
                      </w:rPr>
                    </w:pPr>
                    <w:r>
                      <w:rPr>
                        <w:rFonts w:hint="eastAsia"/>
                        <w:sz w:val="28"/>
                        <w:szCs w:val="28"/>
                        <w:lang w:eastAsia="zh-CN"/>
                      </w:rPr>
                      <w:t xml:space="preserve">— </w:t>
                    </w: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sz w:val="28"/>
                        <w:szCs w:val="28"/>
                      </w:rPr>
                      <w:t>- 2 -</w:t>
                    </w:r>
                    <w:r>
                      <w:rPr>
                        <w:rFonts w:hint="eastAsia"/>
                        <w:sz w:val="28"/>
                        <w:szCs w:val="28"/>
                        <w:lang w:eastAsia="zh-CN"/>
                      </w:rPr>
                      <w:fldChar w:fldCharType="end"/>
                    </w:r>
                    <w:r>
                      <w:rPr>
                        <w:rFonts w:hint="eastAsia"/>
                        <w:sz w:val="28"/>
                        <w:szCs w:val="28"/>
                        <w:lang w:val="en-US" w:eastAsia="zh-CN"/>
                      </w:rPr>
                      <w:t xml:space="preserve"> </w:t>
                    </w:r>
                    <w:r>
                      <w:rPr>
                        <w:rFonts w:hint="eastAsia"/>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1"/>
      <w:numFmt w:val="chineseCountingThousand"/>
      <w:pStyle w:val="4"/>
      <w:lvlText w:val="第%1章　"/>
      <w:lvlJc w:val="left"/>
      <w:pPr>
        <w:tabs>
          <w:tab w:val="left" w:pos="1440"/>
        </w:tabs>
        <w:ind w:left="720" w:hanging="720"/>
      </w:pPr>
      <w:rPr>
        <w:rFonts w:hint="eastAsia" w:cs="Times New Roman"/>
        <w:sz w:val="32"/>
      </w:rPr>
    </w:lvl>
    <w:lvl w:ilvl="1" w:tentative="0">
      <w:start w:val="1"/>
      <w:numFmt w:val="lowerRoman"/>
      <w:lvlText w:val="(%2)"/>
      <w:lvlJc w:val="left"/>
      <w:pPr>
        <w:tabs>
          <w:tab w:val="left" w:pos="861"/>
        </w:tabs>
        <w:ind w:left="861" w:hanging="720"/>
      </w:pPr>
      <w:rPr>
        <w:rFonts w:hint="eastAsia" w:cs="Times New Roman"/>
      </w:rPr>
    </w:lvl>
    <w:lvl w:ilvl="2" w:tentative="0">
      <w:start w:val="1"/>
      <w:numFmt w:val="lowerLetter"/>
      <w:lvlText w:val="(%3)"/>
      <w:lvlJc w:val="left"/>
      <w:pPr>
        <w:tabs>
          <w:tab w:val="left" w:pos="1335"/>
        </w:tabs>
        <w:ind w:left="1335" w:hanging="495"/>
      </w:pPr>
      <w:rPr>
        <w:rFonts w:hint="eastAsia"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cumentProtection w:enforcement="0"/>
  <w:defaultTabStop w:val="500"/>
  <w:evenAndOddHeaders w:val="true"/>
  <w:drawingGridVerticalSpacing w:val="162"/>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230459"/>
    <w:rsid w:val="0DD84FB1"/>
    <w:rsid w:val="10A37D5A"/>
    <w:rsid w:val="15662A4D"/>
    <w:rsid w:val="15D36EA8"/>
    <w:rsid w:val="1CE36DD4"/>
    <w:rsid w:val="27011992"/>
    <w:rsid w:val="35FF568E"/>
    <w:rsid w:val="37AE4F9F"/>
    <w:rsid w:val="43F5093E"/>
    <w:rsid w:val="45572E66"/>
    <w:rsid w:val="469DC375"/>
    <w:rsid w:val="4F5F2938"/>
    <w:rsid w:val="510158B2"/>
    <w:rsid w:val="5699355A"/>
    <w:rsid w:val="5BE1471D"/>
    <w:rsid w:val="5EBE148E"/>
    <w:rsid w:val="5FFF65B8"/>
    <w:rsid w:val="662E14C8"/>
    <w:rsid w:val="675D6DC0"/>
    <w:rsid w:val="67BD47A9"/>
    <w:rsid w:val="6A8B6E91"/>
    <w:rsid w:val="7180737B"/>
    <w:rsid w:val="7AB1755A"/>
    <w:rsid w:val="7F4468CB"/>
    <w:rsid w:val="7FBF6A51"/>
    <w:rsid w:val="9779BCB7"/>
    <w:rsid w:val="A93D0AA0"/>
    <w:rsid w:val="C3BB5DAB"/>
    <w:rsid w:val="DEEA41A5"/>
    <w:rsid w:val="F46714CB"/>
    <w:rsid w:val="F5FEB556"/>
    <w:rsid w:val="F9EA7139"/>
    <w:rsid w:val="FB569FBD"/>
    <w:rsid w:val="FF3F6209"/>
    <w:rsid w:val="FFFEFFD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宋体" w:cs="Times New Roman"/>
      <w:kern w:val="2"/>
      <w:sz w:val="21"/>
      <w:lang w:val="en-US" w:eastAsia="zh-CN" w:bidi="ar-SA"/>
    </w:rPr>
  </w:style>
  <w:style w:type="paragraph" w:styleId="5">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13">
    <w:name w:val="Default Paragraph Font"/>
    <w:link w:val="14"/>
    <w:semiHidden/>
    <w:qFormat/>
    <w:uiPriority w:val="0"/>
    <w:rPr>
      <w:rFonts w:ascii="Tahoma" w:hAnsi="Tahoma"/>
      <w:b/>
      <w:sz w:val="44"/>
      <w:szCs w:val="28"/>
    </w:rPr>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next w:val="4"/>
    <w:qFormat/>
    <w:uiPriority w:val="0"/>
    <w:pPr>
      <w:spacing w:line="240" w:lineRule="atLeast"/>
    </w:pPr>
    <w:rPr>
      <w:rFonts w:ascii="仿宋_GB2312" w:eastAsia="仿宋_GB2312"/>
      <w:sz w:val="32"/>
    </w:rPr>
  </w:style>
  <w:style w:type="paragraph" w:customStyle="1" w:styleId="4">
    <w:name w:val="Body Text 2"/>
    <w:basedOn w:val="1"/>
    <w:qFormat/>
    <w:uiPriority w:val="0"/>
    <w:pPr>
      <w:widowControl/>
      <w:numPr>
        <w:ilvl w:val="0"/>
        <w:numId w:val="1"/>
      </w:numPr>
      <w:spacing w:before="156" w:beforeLines="50" w:line="336" w:lineRule="auto"/>
      <w:ind w:left="0" w:firstLine="0"/>
    </w:pPr>
    <w:rPr>
      <w:rFonts w:eastAsia="黑体"/>
      <w:szCs w:val="20"/>
    </w:rPr>
  </w:style>
  <w:style w:type="paragraph" w:styleId="6">
    <w:name w:val="Body Text Indent"/>
    <w:basedOn w:val="1"/>
    <w:next w:val="7"/>
    <w:qFormat/>
    <w:uiPriority w:val="99"/>
    <w:pPr>
      <w:spacing w:after="120" w:afterLines="0"/>
      <w:ind w:left="420"/>
    </w:pPr>
  </w:style>
  <w:style w:type="paragraph" w:styleId="7">
    <w:name w:val="Body Text First Indent 2"/>
    <w:basedOn w:val="6"/>
    <w:next w:val="1"/>
    <w:qFormat/>
    <w:uiPriority w:val="99"/>
    <w:pPr>
      <w:ind w:left="0" w:firstLine="40"/>
    </w:pPr>
    <w:rPr>
      <w:rFonts w:ascii="仿宋_GB2312" w:hAnsi="仿宋_GB2312" w:eastAsia="仿宋" w:cs="仿宋_GB2312"/>
      <w:sz w:val="32"/>
      <w:szCs w:val="3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 Char"/>
    <w:basedOn w:val="15"/>
    <w:link w:val="13"/>
    <w:qFormat/>
    <w:uiPriority w:val="0"/>
    <w:rPr>
      <w:rFonts w:ascii="Tahoma" w:hAnsi="Tahoma"/>
      <w:b/>
      <w:sz w:val="44"/>
      <w:szCs w:val="28"/>
    </w:rPr>
  </w:style>
  <w:style w:type="paragraph" w:customStyle="1" w:styleId="15">
    <w:name w:val="Document Map"/>
    <w:basedOn w:val="1"/>
    <w:qFormat/>
    <w:uiPriority w:val="0"/>
    <w:pPr>
      <w:shd w:val="clear" w:color="auto" w:fill="000080"/>
    </w:pPr>
  </w:style>
  <w:style w:type="character" w:styleId="16">
    <w:name w:val="Strong"/>
    <w:basedOn w:val="13"/>
    <w:qFormat/>
    <w:uiPriority w:val="0"/>
  </w:style>
  <w:style w:type="paragraph" w:customStyle="1" w:styleId="17">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8">
    <w:name w:val="HTML Address"/>
    <w:basedOn w:val="1"/>
    <w:qFormat/>
    <w:uiPriority w:val="0"/>
    <w:pPr>
      <w:spacing w:before="100" w:beforeAutospacing="1" w:after="100" w:afterAutospacing="1"/>
      <w:ind w:left="0" w:right="0"/>
      <w:jc w:val="left"/>
    </w:pPr>
    <w:rPr>
      <w:kern w:val="0"/>
      <w:sz w:val="24"/>
      <w:lang w:val="en-US" w:eastAsia="zh-CN"/>
    </w:rPr>
  </w:style>
  <w:style w:type="paragraph" w:customStyle="1" w:styleId="19">
    <w:name w:val="Plain Text"/>
    <w:basedOn w:val="1"/>
    <w:qFormat/>
    <w:uiPriority w:val="0"/>
    <w:rPr>
      <w:rFonts w:ascii="宋体" w:hAnsi="Courier New" w:cs="Courier New"/>
      <w:szCs w:val="21"/>
    </w:rPr>
  </w:style>
  <w:style w:type="paragraph" w:customStyle="1" w:styleId="20">
    <w:name w:val=" Char Char Char Char"/>
    <w:basedOn w:val="1"/>
    <w:qFormat/>
    <w:uiPriority w:val="0"/>
    <w:pPr>
      <w:widowControl/>
      <w:spacing w:after="160" w:line="240" w:lineRule="exact"/>
      <w:jc w:val="left"/>
    </w:pPr>
    <w:rPr>
      <w:rFonts w:ascii="Tahoma" w:hAnsi="Tahoma"/>
      <w:b/>
      <w:sz w:val="44"/>
      <w:szCs w:val="28"/>
    </w:rPr>
  </w:style>
  <w:style w:type="paragraph" w:customStyle="1" w:styleId="21">
    <w:name w:val="p0"/>
    <w:basedOn w:val="1"/>
    <w:qFormat/>
    <w:uiPriority w:val="0"/>
    <w:pPr>
      <w:widowControl/>
    </w:pPr>
    <w:rPr>
      <w:kern w:val="0"/>
      <w:szCs w:val="21"/>
    </w:rPr>
  </w:style>
  <w:style w:type="paragraph" w:customStyle="1" w:styleId="22">
    <w:name w:val="_Style 4"/>
    <w:basedOn w:val="1"/>
    <w:qFormat/>
    <w:uiPriority w:val="0"/>
    <w:pPr>
      <w:widowControl/>
      <w:spacing w:after="160" w:line="240" w:lineRule="exact"/>
      <w:jc w:val="left"/>
    </w:pPr>
    <w:rPr>
      <w:rFonts w:ascii="Tahoma" w:hAnsi="Tahoma"/>
      <w:b/>
      <w:sz w:val="44"/>
      <w:szCs w:val="28"/>
    </w:rPr>
  </w:style>
  <w:style w:type="character" w:customStyle="1" w:styleId="23">
    <w:name w:val="page number"/>
    <w:basedOn w:val="13"/>
    <w:qFormat/>
    <w:uiPriority w:val="0"/>
    <w:rPr>
      <w:rFonts w:hint="default" w:ascii="Times New Roman"/>
    </w:rPr>
  </w:style>
  <w:style w:type="paragraph" w:customStyle="1" w:styleId="24">
    <w:name w:val="正文首行缩进1"/>
    <w:basedOn w:val="3"/>
    <w:qFormat/>
    <w:uiPriority w:val="0"/>
    <w:pPr>
      <w:widowControl w:val="0"/>
      <w:spacing w:after="120" w:line="240" w:lineRule="auto"/>
      <w:ind w:firstLine="420" w:firstLineChars="100"/>
    </w:pPr>
    <w:rPr>
      <w:rFonts w:ascii="Calibri" w:hAnsi="Calibri" w:eastAsia="宋体" w:cs="仿宋_GB2312"/>
      <w:kern w:val="0"/>
      <w:szCs w:val="32"/>
    </w:rPr>
  </w:style>
  <w:style w:type="character" w:customStyle="1" w:styleId="25">
    <w:name w:val="NormalCharacter"/>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3</TotalTime>
  <ScaleCrop>false</ScaleCrop>
  <LinksUpToDate>false</LinksUpToDate>
  <CharactersWithSpaces>0</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2015-11-21T19:36:00Z</dcterms:created>
  <dc:creator>Administrator</dc:creator>
  <cp:lastModifiedBy>黑</cp:lastModifiedBy>
  <cp:lastPrinted>2017-09-17T08:31:00Z</cp:lastPrinted>
  <dcterms:modified xsi:type="dcterms:W3CDTF">2023-08-18T08:05:34Z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