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bidi w:val="0"/>
        <w:snapToGrid/>
        <w:ind w:left="0" w:leftChars="0" w:firstLine="0" w:firstLineChars="0"/>
        <w:jc w:val="center"/>
        <w:textAlignment w:val="auto"/>
        <w:rPr>
          <w:rFonts w:hint="eastAsia" w:ascii="方正小标宋简体" w:hAnsi="方正小标宋简体" w:eastAsia="方正小标宋简体" w:cs="方正小标宋简体"/>
          <w:bCs/>
          <w:snapToGrid w:val="0"/>
          <w:color w:val="auto"/>
          <w:spacing w:val="-4"/>
          <w:sz w:val="44"/>
          <w:szCs w:val="44"/>
          <w:highlight w:val="none"/>
        </w:rPr>
      </w:pPr>
      <w:r>
        <w:rPr>
          <w:rFonts w:hint="eastAsia" w:ascii="方正小标宋简体" w:hAnsi="方正小标宋简体" w:eastAsia="方正小标宋简体" w:cs="方正小标宋简体"/>
          <w:bCs/>
          <w:snapToGrid w:val="0"/>
          <w:color w:val="auto"/>
          <w:spacing w:val="-4"/>
          <w:sz w:val="44"/>
          <w:szCs w:val="44"/>
          <w:highlight w:val="none"/>
          <w:lang w:val="en-US" w:eastAsia="zh-CN"/>
        </w:rPr>
        <w:t>周口</w:t>
      </w:r>
      <w:r>
        <w:rPr>
          <w:rFonts w:hint="eastAsia" w:ascii="方正小标宋简体" w:hAnsi="方正小标宋简体" w:eastAsia="方正小标宋简体" w:cs="方正小标宋简体"/>
          <w:bCs/>
          <w:snapToGrid w:val="0"/>
          <w:color w:val="auto"/>
          <w:spacing w:val="-4"/>
          <w:sz w:val="44"/>
          <w:szCs w:val="44"/>
          <w:highlight w:val="none"/>
        </w:rPr>
        <w:t>市电动汽车充电基础设施</w:t>
      </w:r>
    </w:p>
    <w:p>
      <w:pPr>
        <w:keepNext w:val="0"/>
        <w:keepLines w:val="0"/>
        <w:pageBreakBefore w:val="0"/>
        <w:kinsoku/>
        <w:wordWrap/>
        <w:overflowPunct/>
        <w:bidi w:val="0"/>
        <w:snapToGrid/>
        <w:ind w:left="0" w:leftChars="0" w:firstLine="0" w:firstLineChars="0"/>
        <w:jc w:val="center"/>
        <w:textAlignment w:val="auto"/>
        <w:rPr>
          <w:rFonts w:hint="eastAsia" w:ascii="方正小标宋简体" w:hAnsi="方正小标宋简体" w:eastAsia="方正小标宋简体" w:cs="方正小标宋简体"/>
          <w:bCs/>
          <w:snapToGrid w:val="0"/>
          <w:color w:val="auto"/>
          <w:spacing w:val="-4"/>
          <w:sz w:val="44"/>
          <w:szCs w:val="44"/>
          <w:highlight w:val="none"/>
          <w:lang w:eastAsia="zh-CN"/>
        </w:rPr>
      </w:pPr>
      <w:r>
        <w:rPr>
          <w:rFonts w:hint="eastAsia" w:ascii="方正小标宋简体" w:hAnsi="方正小标宋简体" w:eastAsia="方正小标宋简体" w:cs="方正小标宋简体"/>
          <w:bCs/>
          <w:snapToGrid w:val="0"/>
          <w:color w:val="auto"/>
          <w:spacing w:val="-4"/>
          <w:sz w:val="44"/>
          <w:szCs w:val="44"/>
          <w:highlight w:val="none"/>
        </w:rPr>
        <w:t>建设</w:t>
      </w:r>
      <w:r>
        <w:rPr>
          <w:rFonts w:hint="eastAsia" w:ascii="方正小标宋简体" w:hAnsi="方正小标宋简体" w:eastAsia="方正小标宋简体" w:cs="方正小标宋简体"/>
          <w:bCs/>
          <w:snapToGrid w:val="0"/>
          <w:color w:val="auto"/>
          <w:spacing w:val="-4"/>
          <w:sz w:val="44"/>
          <w:szCs w:val="44"/>
          <w:highlight w:val="none"/>
          <w:lang w:eastAsia="zh-CN"/>
        </w:rPr>
        <w:t>管理</w:t>
      </w:r>
      <w:r>
        <w:rPr>
          <w:rFonts w:hint="eastAsia" w:ascii="方正小标宋简体" w:hAnsi="方正小标宋简体" w:eastAsia="方正小标宋简体" w:cs="方正小标宋简体"/>
          <w:bCs/>
          <w:snapToGrid w:val="0"/>
          <w:color w:val="auto"/>
          <w:spacing w:val="-4"/>
          <w:sz w:val="44"/>
          <w:szCs w:val="44"/>
          <w:highlight w:val="none"/>
        </w:rPr>
        <w:t>实施</w:t>
      </w:r>
      <w:r>
        <w:rPr>
          <w:rFonts w:hint="eastAsia" w:ascii="方正小标宋简体" w:hAnsi="方正小标宋简体" w:eastAsia="方正小标宋简体" w:cs="方正小标宋简体"/>
          <w:bCs/>
          <w:snapToGrid w:val="0"/>
          <w:color w:val="auto"/>
          <w:spacing w:val="-4"/>
          <w:sz w:val="44"/>
          <w:szCs w:val="44"/>
          <w:highlight w:val="none"/>
          <w:lang w:eastAsia="zh-CN"/>
        </w:rPr>
        <w:t>方案</w:t>
      </w:r>
    </w:p>
    <w:p>
      <w:pPr>
        <w:keepNext w:val="0"/>
        <w:keepLines w:val="0"/>
        <w:pageBreakBefore w:val="0"/>
        <w:kinsoku/>
        <w:wordWrap/>
        <w:overflowPunct/>
        <w:bidi w:val="0"/>
        <w:snapToGrid/>
        <w:ind w:left="0" w:leftChars="0" w:firstLine="0" w:firstLineChars="0"/>
        <w:jc w:val="center"/>
        <w:textAlignment w:val="auto"/>
        <w:rPr>
          <w:rFonts w:hint="eastAsia" w:ascii="楷体_GB2312" w:hAnsi="楷体_GB2312" w:eastAsia="楷体_GB2312" w:cs="楷体_GB2312"/>
          <w:bCs/>
          <w:snapToGrid w:val="0"/>
          <w:color w:val="auto"/>
          <w:spacing w:val="-4"/>
          <w:sz w:val="32"/>
          <w:szCs w:val="32"/>
          <w:highlight w:val="none"/>
        </w:rPr>
      </w:pPr>
      <w:r>
        <w:rPr>
          <w:rFonts w:hint="eastAsia" w:ascii="楷体_GB2312" w:hAnsi="楷体_GB2312" w:eastAsia="楷体_GB2312" w:cs="楷体_GB2312"/>
          <w:bCs/>
          <w:snapToGrid w:val="0"/>
          <w:color w:val="auto"/>
          <w:spacing w:val="-4"/>
          <w:sz w:val="32"/>
          <w:szCs w:val="32"/>
          <w:highlight w:val="none"/>
          <w:lang w:eastAsia="zh-CN"/>
        </w:rPr>
        <w:t>（征求意见稿）</w:t>
      </w:r>
    </w:p>
    <w:p>
      <w:pPr>
        <w:keepNext w:val="0"/>
        <w:keepLines w:val="0"/>
        <w:pageBreakBefore w:val="0"/>
        <w:widowControl/>
        <w:suppressLineNumbers w:val="0"/>
        <w:kinsoku/>
        <w:wordWrap/>
        <w:overflowPunct/>
        <w:bidi w:val="0"/>
        <w:snapToGrid/>
        <w:jc w:val="both"/>
        <w:textAlignment w:val="auto"/>
        <w:rPr>
          <w:rFonts w:hint="eastAsia" w:ascii="方正楷体_GBK" w:hAnsi="方正楷体_GBK" w:eastAsia="方正楷体_GBK" w:cs="方正楷体_GBK"/>
          <w:color w:val="auto"/>
          <w:kern w:val="2"/>
          <w:sz w:val="32"/>
          <w:szCs w:val="32"/>
          <w:highlight w:val="none"/>
          <w:lang w:val="en-US" w:eastAsia="zh-CN" w:bidi="ar-SA"/>
        </w:rPr>
      </w:pP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根据《国务院办公厅关于进一步构建高质量充电基础设施体系的指导意见》（国办发〔2023〕19号）、《河南省人民政府办公厅关于印发河南省加快电动汽车充电基础设施建设若干政策的通知》（豫政办〔2020〕30号）、《河南省人民政府办公厅关于印发河南省支持重大新型基础设施建设若干政策的通知》（豫政办〔2023〕38号）等文件精神，为加快推进我市电动汽车充电基础设施建设，规范规划、建设、运营管理，制定本</w:t>
      </w:r>
      <w:bookmarkStart w:id="0" w:name="_GoBack"/>
      <w:bookmarkEnd w:id="0"/>
      <w:r>
        <w:rPr>
          <w:rFonts w:hint="eastAsia" w:ascii="Times New Roman" w:hAnsi="Times New Roman" w:eastAsia="仿宋_GB2312" w:cs="Times New Roman"/>
          <w:color w:val="auto"/>
          <w:sz w:val="32"/>
          <w:szCs w:val="32"/>
          <w:highlight w:val="none"/>
          <w:lang w:val="en-US" w:eastAsia="zh-CN"/>
        </w:rPr>
        <w:t>实施方案。</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napToGrid/>
        <w:spacing w:beforeAutospacing="0" w:afterAutospacing="0" w:line="560" w:lineRule="exact"/>
        <w:ind w:left="0" w:leftChars="0" w:right="0" w:firstLine="624" w:firstLineChars="200"/>
        <w:jc w:val="left"/>
        <w:textAlignment w:val="auto"/>
        <w:rPr>
          <w:rFonts w:hint="eastAsia" w:ascii="CESI黑体-GB13000" w:hAnsi="CESI黑体-GB13000" w:eastAsia="CESI黑体-GB13000" w:cs="CESI黑体-GB13000"/>
          <w:bCs/>
          <w:snapToGrid w:val="0"/>
          <w:color w:val="auto"/>
          <w:spacing w:val="-4"/>
          <w:sz w:val="32"/>
          <w:szCs w:val="32"/>
          <w:highlight w:val="none"/>
        </w:rPr>
      </w:pPr>
      <w:r>
        <w:rPr>
          <w:rFonts w:hint="eastAsia" w:ascii="黑体" w:hAnsi="黑体" w:eastAsia="黑体" w:cs="黑体"/>
          <w:bCs/>
          <w:snapToGrid w:val="0"/>
          <w:color w:val="auto"/>
          <w:spacing w:val="-4"/>
          <w:sz w:val="32"/>
          <w:szCs w:val="32"/>
          <w:highlight w:val="none"/>
        </w:rPr>
        <w:t>一、总体要求</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napToGrid/>
        <w:spacing w:beforeAutospacing="0" w:afterAutospacing="0" w:line="560" w:lineRule="exact"/>
        <w:ind w:left="0" w:right="0" w:firstLine="640"/>
        <w:jc w:val="left"/>
        <w:textAlignment w:val="auto"/>
        <w:rPr>
          <w:rFonts w:hint="eastAsia" w:ascii="方正楷体_GBK" w:hAnsi="方正楷体_GBK" w:eastAsia="方正楷体_GBK" w:cs="方正楷体_GBK"/>
          <w:bCs/>
          <w:snapToGrid w:val="0"/>
          <w:color w:val="auto"/>
          <w:spacing w:val="-4"/>
          <w:sz w:val="32"/>
          <w:szCs w:val="32"/>
          <w:highlight w:val="none"/>
        </w:rPr>
      </w:pPr>
      <w:r>
        <w:rPr>
          <w:rFonts w:hint="eastAsia" w:ascii="楷体_GB2312" w:hAnsi="楷体_GB2312" w:eastAsia="楷体_GB2312" w:cs="楷体_GB2312"/>
          <w:bCs/>
          <w:snapToGrid w:val="0"/>
          <w:color w:val="auto"/>
          <w:spacing w:val="-4"/>
          <w:sz w:val="32"/>
          <w:szCs w:val="32"/>
          <w:highlight w:val="none"/>
        </w:rPr>
        <w:t>（一）指导思想</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firstLine="640"/>
        <w:jc w:val="both"/>
        <w:textAlignment w:val="auto"/>
        <w:rPr>
          <w:rFonts w:hint="eastAsia" w:ascii="仿宋_GB2312" w:hAnsi="仿宋_GB2312" w:eastAsia="仿宋_GB2312" w:cs="仿宋_GB2312"/>
          <w:bCs/>
          <w:snapToGrid w:val="0"/>
          <w:color w:val="auto"/>
          <w:spacing w:val="-4"/>
          <w:sz w:val="32"/>
          <w:szCs w:val="32"/>
          <w:highlight w:val="none"/>
          <w:lang w:val="en-US" w:eastAsia="zh-CN"/>
        </w:rPr>
      </w:pPr>
      <w:r>
        <w:rPr>
          <w:rFonts w:hint="eastAsia" w:ascii="仿宋_GB2312" w:hAnsi="仿宋_GB2312" w:eastAsia="仿宋_GB2312" w:cs="仿宋_GB2312"/>
          <w:bCs/>
          <w:snapToGrid w:val="0"/>
          <w:color w:val="auto"/>
          <w:spacing w:val="-4"/>
          <w:sz w:val="32"/>
          <w:szCs w:val="32"/>
          <w:highlight w:val="none"/>
          <w:lang w:val="en-US" w:eastAsia="zh-CN"/>
        </w:rPr>
        <w:t>以习近平新时代中国特色社会主义思想为指导，全面贯彻省委、省政府关于新型基础设施建设决策部署，锚定“两个确保”，助力实施“十大战略”，积极开展城市更新行动，以“新城建”对接“新基建”，加快推进基于信息化、数字化、智能化的新能源充电基础设施建设。</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napToGrid/>
        <w:spacing w:beforeAutospacing="0" w:afterAutospacing="0" w:line="560" w:lineRule="exact"/>
        <w:ind w:left="0" w:right="0" w:firstLine="640"/>
        <w:jc w:val="left"/>
        <w:textAlignment w:val="auto"/>
        <w:rPr>
          <w:rFonts w:hint="eastAsia" w:ascii="楷体_GB2312" w:hAnsi="楷体_GB2312" w:eastAsia="楷体_GB2312" w:cs="楷体_GB2312"/>
          <w:bCs/>
          <w:snapToGrid w:val="0"/>
          <w:color w:val="auto"/>
          <w:spacing w:val="-4"/>
          <w:sz w:val="32"/>
          <w:szCs w:val="32"/>
          <w:highlight w:val="none"/>
        </w:rPr>
      </w:pPr>
      <w:r>
        <w:rPr>
          <w:rFonts w:hint="eastAsia" w:ascii="楷体_GB2312" w:hAnsi="楷体_GB2312" w:eastAsia="楷体_GB2312" w:cs="楷体_GB2312"/>
          <w:bCs/>
          <w:snapToGrid w:val="0"/>
          <w:color w:val="auto"/>
          <w:spacing w:val="-4"/>
          <w:sz w:val="32"/>
          <w:szCs w:val="32"/>
          <w:highlight w:val="none"/>
        </w:rPr>
        <w:t>（二）发展目标</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napToGrid/>
        <w:spacing w:beforeAutospacing="0" w:afterAutospacing="0" w:line="560" w:lineRule="exact"/>
        <w:ind w:left="0" w:right="0" w:firstLine="640"/>
        <w:jc w:val="left"/>
        <w:textAlignment w:val="auto"/>
        <w:rPr>
          <w:rFonts w:hint="default" w:ascii="Times New Roman" w:hAnsi="Times New Roman" w:eastAsia="仿宋_GB2312" w:cs="Times New Roman"/>
          <w:bCs/>
          <w:snapToGrid w:val="0"/>
          <w:color w:val="auto"/>
          <w:spacing w:val="-4"/>
          <w:sz w:val="32"/>
          <w:szCs w:val="32"/>
          <w:highlight w:val="none"/>
        </w:rPr>
      </w:pPr>
      <w:r>
        <w:rPr>
          <w:rFonts w:hint="default" w:ascii="Times New Roman" w:hAnsi="Times New Roman" w:eastAsia="仿宋_GB2312" w:cs="Times New Roman"/>
          <w:bCs/>
          <w:snapToGrid w:val="0"/>
          <w:color w:val="auto"/>
          <w:spacing w:val="-4"/>
          <w:sz w:val="32"/>
          <w:szCs w:val="32"/>
          <w:highlight w:val="none"/>
        </w:rPr>
        <w:t>按照</w:t>
      </w:r>
      <w:r>
        <w:rPr>
          <w:rFonts w:hint="eastAsia" w:ascii="Times New Roman" w:hAnsi="Times New Roman" w:eastAsia="仿宋_GB2312" w:cs="Times New Roman"/>
          <w:bCs/>
          <w:snapToGrid w:val="0"/>
          <w:color w:val="auto"/>
          <w:spacing w:val="-4"/>
          <w:sz w:val="32"/>
          <w:szCs w:val="32"/>
          <w:highlight w:val="none"/>
          <w:lang w:eastAsia="zh-CN"/>
        </w:rPr>
        <w:t>“</w:t>
      </w:r>
      <w:r>
        <w:rPr>
          <w:rFonts w:hint="default" w:ascii="Times New Roman" w:hAnsi="Times New Roman" w:eastAsia="仿宋_GB2312" w:cs="Times New Roman"/>
          <w:bCs/>
          <w:snapToGrid w:val="0"/>
          <w:color w:val="auto"/>
          <w:spacing w:val="-4"/>
          <w:sz w:val="32"/>
          <w:szCs w:val="32"/>
          <w:highlight w:val="none"/>
        </w:rPr>
        <w:t>统筹规划、车桩相随、适度超前</w:t>
      </w:r>
      <w:r>
        <w:rPr>
          <w:rFonts w:hint="eastAsia" w:ascii="Times New Roman" w:hAnsi="Times New Roman" w:eastAsia="仿宋_GB2312" w:cs="Times New Roman"/>
          <w:bCs/>
          <w:snapToGrid w:val="0"/>
          <w:color w:val="auto"/>
          <w:spacing w:val="-4"/>
          <w:sz w:val="32"/>
          <w:szCs w:val="32"/>
          <w:highlight w:val="none"/>
          <w:lang w:eastAsia="zh-CN"/>
        </w:rPr>
        <w:t>”</w:t>
      </w:r>
      <w:r>
        <w:rPr>
          <w:rFonts w:hint="default" w:ascii="Times New Roman" w:hAnsi="Times New Roman" w:eastAsia="仿宋_GB2312" w:cs="Times New Roman"/>
          <w:bCs/>
          <w:snapToGrid w:val="0"/>
          <w:color w:val="auto"/>
          <w:spacing w:val="-4"/>
          <w:sz w:val="32"/>
          <w:szCs w:val="32"/>
          <w:highlight w:val="none"/>
        </w:rPr>
        <w:t>的原则</w:t>
      </w:r>
      <w:r>
        <w:rPr>
          <w:rFonts w:hint="default" w:ascii="Times New Roman" w:hAnsi="Times New Roman" w:eastAsia="仿宋_GB2312" w:cs="Times New Roman"/>
          <w:bCs/>
          <w:snapToGrid w:val="0"/>
          <w:color w:val="auto"/>
          <w:spacing w:val="-4"/>
          <w:sz w:val="32"/>
          <w:szCs w:val="32"/>
          <w:highlight w:val="none"/>
          <w:lang w:eastAsia="zh-CN"/>
        </w:rPr>
        <w:t>，</w:t>
      </w:r>
      <w:r>
        <w:rPr>
          <w:rFonts w:hint="default" w:ascii="Times New Roman" w:hAnsi="Times New Roman" w:eastAsia="仿宋_GB2312" w:cs="Times New Roman"/>
          <w:bCs/>
          <w:snapToGrid w:val="0"/>
          <w:color w:val="auto"/>
          <w:spacing w:val="-4"/>
          <w:sz w:val="32"/>
          <w:szCs w:val="32"/>
          <w:highlight w:val="none"/>
        </w:rPr>
        <w:t>逐步形成以住宅小区、办公场所、公交场站、物流园区自</w:t>
      </w:r>
      <w:r>
        <w:rPr>
          <w:rFonts w:hint="eastAsia" w:ascii="Times New Roman" w:hAnsi="Times New Roman" w:eastAsia="仿宋_GB2312" w:cs="Times New Roman"/>
          <w:bCs/>
          <w:snapToGrid w:val="0"/>
          <w:color w:val="auto"/>
          <w:spacing w:val="-4"/>
          <w:sz w:val="32"/>
          <w:szCs w:val="32"/>
          <w:highlight w:val="none"/>
          <w:lang w:eastAsia="zh-CN"/>
        </w:rPr>
        <w:t>（</w:t>
      </w:r>
      <w:r>
        <w:rPr>
          <w:rFonts w:hint="default" w:ascii="Times New Roman" w:hAnsi="Times New Roman" w:eastAsia="仿宋_GB2312" w:cs="Times New Roman"/>
          <w:bCs/>
          <w:snapToGrid w:val="0"/>
          <w:color w:val="auto"/>
          <w:spacing w:val="-4"/>
          <w:sz w:val="32"/>
          <w:szCs w:val="32"/>
          <w:highlight w:val="none"/>
        </w:rPr>
        <w:t>专</w:t>
      </w:r>
      <w:r>
        <w:rPr>
          <w:rFonts w:hint="eastAsia" w:ascii="Times New Roman" w:hAnsi="Times New Roman" w:eastAsia="仿宋_GB2312" w:cs="Times New Roman"/>
          <w:bCs/>
          <w:snapToGrid w:val="0"/>
          <w:color w:val="auto"/>
          <w:spacing w:val="-4"/>
          <w:sz w:val="32"/>
          <w:szCs w:val="32"/>
          <w:highlight w:val="none"/>
          <w:lang w:eastAsia="zh-CN"/>
        </w:rPr>
        <w:t>）</w:t>
      </w:r>
      <w:r>
        <w:rPr>
          <w:rFonts w:hint="default" w:ascii="Times New Roman" w:hAnsi="Times New Roman" w:eastAsia="仿宋_GB2312" w:cs="Times New Roman"/>
          <w:bCs/>
          <w:snapToGrid w:val="0"/>
          <w:color w:val="auto"/>
          <w:spacing w:val="-4"/>
          <w:sz w:val="32"/>
          <w:szCs w:val="32"/>
          <w:highlight w:val="none"/>
        </w:rPr>
        <w:t>用充电设施为主体</w:t>
      </w:r>
      <w:r>
        <w:rPr>
          <w:rFonts w:hint="default" w:ascii="Times New Roman" w:hAnsi="Times New Roman" w:eastAsia="仿宋_GB2312" w:cs="Times New Roman"/>
          <w:bCs/>
          <w:snapToGrid w:val="0"/>
          <w:color w:val="auto"/>
          <w:spacing w:val="-4"/>
          <w:sz w:val="32"/>
          <w:szCs w:val="32"/>
          <w:highlight w:val="none"/>
          <w:lang w:eastAsia="zh-CN"/>
        </w:rPr>
        <w:t>，</w:t>
      </w:r>
      <w:r>
        <w:rPr>
          <w:rFonts w:hint="default" w:ascii="Times New Roman" w:hAnsi="Times New Roman" w:eastAsia="仿宋_GB2312" w:cs="Times New Roman"/>
          <w:bCs/>
          <w:snapToGrid w:val="0"/>
          <w:color w:val="auto"/>
          <w:spacing w:val="-4"/>
          <w:sz w:val="32"/>
          <w:szCs w:val="32"/>
          <w:highlight w:val="none"/>
        </w:rPr>
        <w:t>以公共停车场、商业配建停车场、独立充电站等公用充电设施为辅的城市充电服务网络和沿高速公路的城际快速</w:t>
      </w:r>
      <w:r>
        <w:rPr>
          <w:rFonts w:hint="default" w:ascii="Times New Roman" w:hAnsi="Times New Roman" w:eastAsia="仿宋_GB2312" w:cs="Times New Roman"/>
          <w:bCs/>
          <w:snapToGrid w:val="0"/>
          <w:color w:val="auto"/>
          <w:spacing w:val="-4"/>
          <w:sz w:val="32"/>
          <w:szCs w:val="32"/>
          <w:highlight w:val="none"/>
          <w:lang w:eastAsia="zh-CN"/>
        </w:rPr>
        <w:t>充</w:t>
      </w:r>
      <w:r>
        <w:rPr>
          <w:rFonts w:hint="default" w:ascii="Times New Roman" w:hAnsi="Times New Roman" w:eastAsia="仿宋_GB2312" w:cs="Times New Roman"/>
          <w:bCs/>
          <w:snapToGrid w:val="0"/>
          <w:color w:val="auto"/>
          <w:spacing w:val="-4"/>
          <w:sz w:val="32"/>
          <w:szCs w:val="32"/>
          <w:highlight w:val="none"/>
        </w:rPr>
        <w:t>换电服务网络。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到2025年底，周口市中心城区公共充电桩与电动汽车比例达到1：</w:t>
      </w:r>
      <w:r>
        <w:rPr>
          <w:rFonts w:hint="eastAsia" w:ascii="Times New Roman" w:hAnsi="Times New Roman" w:eastAsia="仿宋_GB2312" w:cs="Times New Roman"/>
          <w:color w:val="auto"/>
          <w:sz w:val="32"/>
          <w:szCs w:val="32"/>
          <w:highlight w:val="none"/>
          <w:lang w:val="en-US" w:eastAsia="zh-CN"/>
        </w:rPr>
        <w:t>8</w:t>
      </w:r>
      <w:r>
        <w:rPr>
          <w:rFonts w:hint="default" w:ascii="Times New Roman" w:hAnsi="Times New Roman" w:eastAsia="仿宋_GB2312" w:cs="Times New Roman"/>
          <w:color w:val="auto"/>
          <w:sz w:val="32"/>
          <w:szCs w:val="32"/>
          <w:highlight w:val="none"/>
          <w:lang w:val="en-US" w:eastAsia="zh-CN"/>
        </w:rPr>
        <w:t>，公共充电设施服务半径小于2公里；全市高速公路服务区实现充电基础设施全覆盖。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到2030年，周口市中心城区全面建成布局合理、管理规范、智能高效的充电基础设施体系，形成统一开放、竞争有序的充电服务市场，满足不同领域、不同层次的充电需求。</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napToGrid/>
        <w:spacing w:beforeAutospacing="0" w:afterAutospacing="0" w:line="560" w:lineRule="exact"/>
        <w:ind w:left="0" w:right="0" w:firstLine="640"/>
        <w:jc w:val="left"/>
        <w:textAlignment w:val="auto"/>
        <w:rPr>
          <w:rFonts w:hint="eastAsia" w:ascii="黑体" w:hAnsi="黑体" w:eastAsia="黑体" w:cs="黑体"/>
          <w:bCs/>
          <w:snapToGrid w:val="0"/>
          <w:color w:val="auto"/>
          <w:spacing w:val="-4"/>
          <w:sz w:val="32"/>
          <w:szCs w:val="32"/>
          <w:highlight w:val="none"/>
          <w:lang w:eastAsia="zh-CN"/>
        </w:rPr>
      </w:pPr>
      <w:r>
        <w:rPr>
          <w:rFonts w:hint="eastAsia" w:ascii="黑体" w:hAnsi="黑体" w:eastAsia="黑体" w:cs="黑体"/>
          <w:bCs/>
          <w:snapToGrid w:val="0"/>
          <w:color w:val="auto"/>
          <w:spacing w:val="-4"/>
          <w:sz w:val="32"/>
          <w:szCs w:val="32"/>
          <w:highlight w:val="none"/>
          <w:lang w:val="en-US" w:eastAsia="zh-CN"/>
        </w:rPr>
        <w:t>二</w:t>
      </w:r>
      <w:r>
        <w:rPr>
          <w:rFonts w:hint="eastAsia" w:ascii="黑体" w:hAnsi="黑体" w:eastAsia="黑体" w:cs="黑体"/>
          <w:bCs/>
          <w:snapToGrid w:val="0"/>
          <w:color w:val="auto"/>
          <w:spacing w:val="-4"/>
          <w:sz w:val="32"/>
          <w:szCs w:val="32"/>
          <w:highlight w:val="none"/>
        </w:rPr>
        <w:t>、</w:t>
      </w:r>
      <w:r>
        <w:rPr>
          <w:rFonts w:hint="eastAsia" w:ascii="黑体" w:hAnsi="黑体" w:eastAsia="黑体" w:cs="黑体"/>
          <w:bCs/>
          <w:snapToGrid w:val="0"/>
          <w:color w:val="auto"/>
          <w:spacing w:val="-4"/>
          <w:sz w:val="32"/>
          <w:szCs w:val="32"/>
          <w:highlight w:val="none"/>
          <w:lang w:eastAsia="zh-CN"/>
        </w:rPr>
        <w:t>优化完善充电基础设施网络布局</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napToGrid/>
        <w:spacing w:beforeAutospacing="0" w:afterAutospacing="0" w:line="560" w:lineRule="exact"/>
        <w:ind w:left="0" w:right="0" w:firstLine="640"/>
        <w:jc w:val="left"/>
        <w:textAlignment w:val="auto"/>
        <w:rPr>
          <w:rFonts w:hint="eastAsia" w:ascii="方正楷体_GBK" w:hAnsi="方正楷体_GBK" w:eastAsia="方正楷体_GBK" w:cs="方正楷体_GBK"/>
          <w:bCs/>
          <w:snapToGrid w:val="0"/>
          <w:color w:val="auto"/>
          <w:spacing w:val="-4"/>
          <w:sz w:val="32"/>
          <w:szCs w:val="32"/>
          <w:highlight w:val="none"/>
        </w:rPr>
      </w:pPr>
      <w:r>
        <w:rPr>
          <w:rFonts w:hint="eastAsia" w:ascii="楷体_GB2312" w:hAnsi="楷体_GB2312" w:eastAsia="楷体_GB2312" w:cs="楷体_GB2312"/>
          <w:bCs/>
          <w:snapToGrid w:val="0"/>
          <w:color w:val="auto"/>
          <w:spacing w:val="-4"/>
          <w:sz w:val="32"/>
          <w:szCs w:val="32"/>
          <w:highlight w:val="none"/>
        </w:rPr>
        <w:t>（</w:t>
      </w:r>
      <w:r>
        <w:rPr>
          <w:rFonts w:hint="eastAsia" w:ascii="楷体_GB2312" w:hAnsi="楷体_GB2312" w:eastAsia="楷体_GB2312" w:cs="楷体_GB2312"/>
          <w:bCs/>
          <w:snapToGrid w:val="0"/>
          <w:color w:val="auto"/>
          <w:spacing w:val="-4"/>
          <w:sz w:val="32"/>
          <w:szCs w:val="32"/>
          <w:highlight w:val="none"/>
          <w:lang w:eastAsia="zh-CN"/>
        </w:rPr>
        <w:t>一</w:t>
      </w:r>
      <w:r>
        <w:rPr>
          <w:rFonts w:hint="eastAsia" w:ascii="楷体_GB2312" w:hAnsi="楷体_GB2312" w:eastAsia="楷体_GB2312" w:cs="楷体_GB2312"/>
          <w:bCs/>
          <w:snapToGrid w:val="0"/>
          <w:color w:val="auto"/>
          <w:spacing w:val="-4"/>
          <w:sz w:val="32"/>
          <w:szCs w:val="32"/>
          <w:highlight w:val="none"/>
        </w:rPr>
        <w:t>）推进</w:t>
      </w:r>
      <w:r>
        <w:rPr>
          <w:rFonts w:hint="eastAsia" w:ascii="楷体_GB2312" w:hAnsi="楷体_GB2312" w:eastAsia="楷体_GB2312" w:cs="楷体_GB2312"/>
          <w:bCs/>
          <w:snapToGrid w:val="0"/>
          <w:color w:val="auto"/>
          <w:spacing w:val="-4"/>
          <w:sz w:val="32"/>
          <w:szCs w:val="32"/>
          <w:highlight w:val="none"/>
          <w:lang w:eastAsia="zh-CN"/>
        </w:rPr>
        <w:t>居民区</w:t>
      </w:r>
      <w:r>
        <w:rPr>
          <w:rFonts w:hint="eastAsia" w:ascii="楷体_GB2312" w:hAnsi="楷体_GB2312" w:eastAsia="楷体_GB2312" w:cs="楷体_GB2312"/>
          <w:bCs/>
          <w:snapToGrid w:val="0"/>
          <w:color w:val="auto"/>
          <w:spacing w:val="-4"/>
          <w:sz w:val="32"/>
          <w:szCs w:val="32"/>
          <w:highlight w:val="none"/>
        </w:rPr>
        <w:t>充电</w:t>
      </w:r>
      <w:r>
        <w:rPr>
          <w:rFonts w:hint="eastAsia" w:ascii="楷体_GB2312" w:hAnsi="楷体_GB2312" w:eastAsia="楷体_GB2312" w:cs="楷体_GB2312"/>
          <w:bCs/>
          <w:snapToGrid w:val="0"/>
          <w:color w:val="auto"/>
          <w:spacing w:val="-4"/>
          <w:sz w:val="32"/>
          <w:szCs w:val="32"/>
          <w:highlight w:val="none"/>
          <w:lang w:eastAsia="zh-CN"/>
        </w:rPr>
        <w:t>基础</w:t>
      </w:r>
      <w:r>
        <w:rPr>
          <w:rFonts w:hint="eastAsia" w:ascii="楷体_GB2312" w:hAnsi="楷体_GB2312" w:eastAsia="楷体_GB2312" w:cs="楷体_GB2312"/>
          <w:bCs/>
          <w:snapToGrid w:val="0"/>
          <w:color w:val="auto"/>
          <w:spacing w:val="-4"/>
          <w:sz w:val="32"/>
          <w:szCs w:val="32"/>
          <w:highlight w:val="none"/>
        </w:rPr>
        <w:t>设施建设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在新建住宅小区和具备电力增容条件的既有居住区建设以慢充为主的自（专）用充电设施。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楷体_GB2312" w:eastAsia="楷体_GB2312" w:cs="楷体_GB2312"/>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1</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推进新建居住区停车位充电设施建设。压实新建居住区建设单位主体责任，严格落实配建要求，确保配建停车位100%建设配备充电基础设施或预留充电基础设施安装条件（以下简称预留安装条件），并在土地规划条件中予以明确。落实街道办事处、居民委员会等基层管理机构责任，加大对居住社区管理单位的指导和监督，建立充电基础设施建设</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一站式</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协调推动和投诉解决机制。新建居住区应统一将供电线路敷设到固定停车位或预留敷设条件，并预留电表箱、充电设施安装位置和用电容量。因地制宜制定</w:t>
      </w:r>
      <w:r>
        <w:rPr>
          <w:rFonts w:hint="default" w:ascii="Times New Roman" w:hAnsi="Times New Roman" w:eastAsia="仿宋_GB2312" w:cs="Times New Roman"/>
          <w:color w:val="auto"/>
          <w:sz w:val="32"/>
          <w:szCs w:val="32"/>
          <w:highlight w:val="none"/>
          <w:lang w:val="en" w:eastAsia="zh-CN"/>
        </w:rPr>
        <w:t>居住区</w:t>
      </w:r>
      <w:r>
        <w:rPr>
          <w:rFonts w:hint="default" w:ascii="Times New Roman" w:hAnsi="Times New Roman" w:eastAsia="仿宋_GB2312" w:cs="Times New Roman"/>
          <w:color w:val="auto"/>
          <w:sz w:val="32"/>
          <w:szCs w:val="32"/>
          <w:highlight w:val="none"/>
          <w:lang w:val="en-US" w:eastAsia="zh-CN"/>
        </w:rPr>
        <w:t>公共停车位的供电设施建设方案，为充电基础设施建设安装提供便利。</w:t>
      </w:r>
      <w:r>
        <w:rPr>
          <w:rFonts w:hint="eastAsia" w:ascii="楷体_GB2312" w:hAnsi="楷体_GB2312" w:eastAsia="楷体_GB2312" w:cs="楷体_GB2312"/>
          <w:color w:val="auto"/>
          <w:sz w:val="32"/>
          <w:szCs w:val="32"/>
          <w:highlight w:val="none"/>
          <w:lang w:val="en-US" w:eastAsia="zh-CN"/>
        </w:rPr>
        <w:t>（责任单位：市自然资源和规划局、市住房城乡建设局、市发展改革委、周口供电公司、市投资集团、各区政府（管委会）、各县（市）人民政府）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楷体_GB2312" w:eastAsia="楷体_GB2312" w:cs="楷体_GB2312"/>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2</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推进既有居住区停车位充电设施建设。结合城镇老旧小区改造及城市居住小区建设补短板行动，鼓励既有居民区的固定停车位安装充电基础设施，因地制宜推进充电基础设施建设；公共停车位按照一定比例安装充电基础设施。推行居民自建充电桩接电</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即报即装</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若居民供电的电力设施产权归电网企业，充电基础设施所有人可向电网企业申请接入公用电网设备；若居民供电的电力设施产权归转供电运营企业，充电基础设施所有人应向转供电运营企业申请接入专用电网设备。既有居民小区地下车库电源延伸至每一</w:t>
      </w:r>
      <w:r>
        <w:rPr>
          <w:rFonts w:hint="eastAsia" w:ascii="Times New Roman" w:hAnsi="Times New Roman" w:eastAsia="仿宋_GB2312" w:cs="Times New Roman"/>
          <w:color w:val="auto"/>
          <w:sz w:val="32"/>
          <w:szCs w:val="32"/>
          <w:highlight w:val="none"/>
          <w:lang w:val="en-US" w:eastAsia="zh-CN"/>
        </w:rPr>
        <w:t>个</w:t>
      </w:r>
      <w:r>
        <w:rPr>
          <w:rFonts w:hint="default" w:ascii="Times New Roman" w:hAnsi="Times New Roman" w:eastAsia="仿宋_GB2312" w:cs="Times New Roman"/>
          <w:color w:val="auto"/>
          <w:sz w:val="32"/>
          <w:szCs w:val="32"/>
          <w:highlight w:val="none"/>
          <w:lang w:val="en-US" w:eastAsia="zh-CN"/>
        </w:rPr>
        <w:t>防火分区，各防火分区表箱集中布置为主，并根据防火分区结构特点优化布局，分区内原则上由本分区集中表箱引出，尽可能减少用户表后投资。</w:t>
      </w:r>
      <w:r>
        <w:rPr>
          <w:rFonts w:hint="eastAsia" w:ascii="楷体_GB2312" w:hAnsi="楷体_GB2312" w:eastAsia="楷体_GB2312" w:cs="楷体_GB2312"/>
          <w:color w:val="auto"/>
          <w:sz w:val="32"/>
          <w:szCs w:val="32"/>
          <w:highlight w:val="none"/>
          <w:lang w:val="en-US" w:eastAsia="zh-CN"/>
        </w:rPr>
        <w:t>（责任单位：市住房城乡建设局、市发展改革委、市自然资源和规划局、周口供电公司、市投资集团、各区政府（管委会）、各县（市）人民政府）</w:t>
      </w:r>
    </w:p>
    <w:p>
      <w:pPr>
        <w:pStyle w:val="2"/>
        <w:ind w:firstLine="640"/>
        <w:rPr>
          <w:rFonts w:hint="eastAsia" w:ascii="Times New Roman" w:hAnsi="Times New Roman" w:eastAsia="仿宋_GB2312" w:cs="Times New Roman"/>
          <w:color w:val="auto"/>
          <w:kern w:val="2"/>
          <w:sz w:val="32"/>
          <w:szCs w:val="32"/>
          <w:highlight w:val="none"/>
          <w:lang w:val="en-US" w:eastAsia="zh-CN" w:bidi="ar-SA"/>
        </w:rPr>
      </w:pPr>
      <w:r>
        <w:rPr>
          <w:rFonts w:hint="eastAsia" w:ascii="Times New Roman" w:hAnsi="Times New Roman" w:eastAsia="仿宋_GB2312" w:cs="Times New Roman"/>
          <w:color w:val="auto"/>
          <w:kern w:val="2"/>
          <w:sz w:val="32"/>
          <w:szCs w:val="32"/>
          <w:highlight w:val="none"/>
          <w:lang w:val="en-US" w:eastAsia="zh-CN" w:bidi="ar-SA"/>
        </w:rPr>
        <w:t>3</w:t>
      </w:r>
      <w:r>
        <w:rPr>
          <w:rFonts w:hint="eastAsia" w:ascii="Times New Roman" w:eastAsia="仿宋_GB2312" w:cs="Times New Roman"/>
          <w:color w:val="auto"/>
          <w:kern w:val="2"/>
          <w:sz w:val="32"/>
          <w:szCs w:val="32"/>
          <w:highlight w:val="none"/>
          <w:lang w:val="en-US" w:eastAsia="zh-CN" w:bidi="ar-SA"/>
        </w:rPr>
        <w:t>.</w:t>
      </w:r>
      <w:r>
        <w:rPr>
          <w:rFonts w:hint="eastAsia" w:ascii="Times New Roman" w:hAnsi="Times New Roman" w:eastAsia="仿宋_GB2312" w:cs="Times New Roman"/>
          <w:color w:val="auto"/>
          <w:kern w:val="2"/>
          <w:sz w:val="32"/>
          <w:szCs w:val="32"/>
          <w:highlight w:val="none"/>
          <w:lang w:val="en-US" w:eastAsia="zh-CN" w:bidi="ar-SA"/>
        </w:rPr>
        <w:t>鼓励支持既有居民小区规模化增设充电设施并实行“统建统管、有序充电”。“统建统管、有序充电”是指由特许经营单位按照统一的标准进行建设和运营，在居住社区内建设的能够实时接收并响应上级负荷调控指令，实现错峰和智慧有序充电的充电设施。同时，居民小区充电设施须将运行状态、业务数据实时传送市级监管平台。（责任单位：市住房和城乡建设局、发展改革委、自然资源和规划局、供电公司、投资集团、各区政府（管委会）、各县（市）人民政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napToGrid/>
        <w:spacing w:beforeAutospacing="0" w:afterAutospacing="0" w:line="560" w:lineRule="exact"/>
        <w:ind w:left="0" w:right="0" w:firstLine="640"/>
        <w:jc w:val="left"/>
        <w:textAlignment w:val="auto"/>
        <w:rPr>
          <w:rFonts w:hint="eastAsia" w:ascii="方正楷体_GBK" w:hAnsi="方正楷体_GBK" w:eastAsia="方正楷体_GBK" w:cs="方正楷体_GBK"/>
          <w:bCs/>
          <w:snapToGrid w:val="0"/>
          <w:color w:val="auto"/>
          <w:spacing w:val="-4"/>
          <w:sz w:val="32"/>
          <w:szCs w:val="32"/>
          <w:highlight w:val="none"/>
        </w:rPr>
      </w:pPr>
      <w:r>
        <w:rPr>
          <w:rFonts w:hint="eastAsia" w:ascii="楷体_GB2312" w:hAnsi="楷体_GB2312" w:eastAsia="楷体_GB2312" w:cs="楷体_GB2312"/>
          <w:bCs/>
          <w:snapToGrid w:val="0"/>
          <w:color w:val="auto"/>
          <w:spacing w:val="-4"/>
          <w:sz w:val="32"/>
          <w:szCs w:val="32"/>
          <w:highlight w:val="none"/>
        </w:rPr>
        <w:t>（</w:t>
      </w:r>
      <w:r>
        <w:rPr>
          <w:rFonts w:hint="eastAsia" w:ascii="楷体_GB2312" w:hAnsi="楷体_GB2312" w:eastAsia="楷体_GB2312" w:cs="楷体_GB2312"/>
          <w:bCs/>
          <w:snapToGrid w:val="0"/>
          <w:color w:val="auto"/>
          <w:spacing w:val="-4"/>
          <w:sz w:val="32"/>
          <w:szCs w:val="32"/>
          <w:highlight w:val="none"/>
          <w:lang w:eastAsia="zh-CN"/>
        </w:rPr>
        <w:t>二</w:t>
      </w:r>
      <w:r>
        <w:rPr>
          <w:rFonts w:hint="eastAsia" w:ascii="楷体_GB2312" w:hAnsi="楷体_GB2312" w:eastAsia="楷体_GB2312" w:cs="楷体_GB2312"/>
          <w:bCs/>
          <w:snapToGrid w:val="0"/>
          <w:color w:val="auto"/>
          <w:spacing w:val="-4"/>
          <w:sz w:val="32"/>
          <w:szCs w:val="32"/>
          <w:highlight w:val="none"/>
        </w:rPr>
        <w:t>）</w:t>
      </w:r>
      <w:r>
        <w:rPr>
          <w:rFonts w:hint="eastAsia" w:ascii="楷体_GB2312" w:hAnsi="楷体_GB2312" w:eastAsia="楷体_GB2312" w:cs="楷体_GB2312"/>
          <w:bCs/>
          <w:snapToGrid w:val="0"/>
          <w:color w:val="auto"/>
          <w:spacing w:val="-4"/>
          <w:sz w:val="32"/>
          <w:szCs w:val="32"/>
          <w:highlight w:val="none"/>
          <w:lang w:eastAsia="zh-CN"/>
        </w:rPr>
        <w:t>大力</w:t>
      </w:r>
      <w:r>
        <w:rPr>
          <w:rFonts w:hint="eastAsia" w:ascii="楷体_GB2312" w:hAnsi="楷体_GB2312" w:eastAsia="楷体_GB2312" w:cs="楷体_GB2312"/>
          <w:bCs/>
          <w:snapToGrid w:val="0"/>
          <w:color w:val="auto"/>
          <w:spacing w:val="-4"/>
          <w:sz w:val="32"/>
          <w:szCs w:val="32"/>
          <w:highlight w:val="none"/>
        </w:rPr>
        <w:t>推</w:t>
      </w:r>
      <w:r>
        <w:rPr>
          <w:rFonts w:hint="eastAsia" w:ascii="楷体_GB2312" w:hAnsi="楷体_GB2312" w:eastAsia="楷体_GB2312" w:cs="楷体_GB2312"/>
          <w:bCs/>
          <w:snapToGrid w:val="0"/>
          <w:color w:val="auto"/>
          <w:spacing w:val="-4"/>
          <w:sz w:val="32"/>
          <w:szCs w:val="32"/>
          <w:highlight w:val="none"/>
          <w:lang w:eastAsia="zh-CN"/>
        </w:rPr>
        <w:t>动公共区域</w:t>
      </w:r>
      <w:r>
        <w:rPr>
          <w:rFonts w:hint="eastAsia" w:ascii="楷体_GB2312" w:hAnsi="楷体_GB2312" w:eastAsia="楷体_GB2312" w:cs="楷体_GB2312"/>
          <w:bCs/>
          <w:snapToGrid w:val="0"/>
          <w:color w:val="auto"/>
          <w:spacing w:val="-4"/>
          <w:sz w:val="32"/>
          <w:szCs w:val="32"/>
          <w:highlight w:val="none"/>
        </w:rPr>
        <w:t>充电</w:t>
      </w:r>
      <w:r>
        <w:rPr>
          <w:rFonts w:hint="eastAsia" w:ascii="楷体_GB2312" w:hAnsi="楷体_GB2312" w:eastAsia="楷体_GB2312" w:cs="楷体_GB2312"/>
          <w:bCs/>
          <w:snapToGrid w:val="0"/>
          <w:color w:val="auto"/>
          <w:spacing w:val="-4"/>
          <w:sz w:val="32"/>
          <w:szCs w:val="32"/>
          <w:highlight w:val="none"/>
          <w:lang w:eastAsia="zh-CN"/>
        </w:rPr>
        <w:t>基础</w:t>
      </w:r>
      <w:r>
        <w:rPr>
          <w:rFonts w:hint="eastAsia" w:ascii="楷体_GB2312" w:hAnsi="楷体_GB2312" w:eastAsia="楷体_GB2312" w:cs="楷体_GB2312"/>
          <w:bCs/>
          <w:snapToGrid w:val="0"/>
          <w:color w:val="auto"/>
          <w:spacing w:val="-4"/>
          <w:sz w:val="32"/>
          <w:szCs w:val="32"/>
          <w:highlight w:val="none"/>
        </w:rPr>
        <w:t>设施建设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楷体_GB2312" w:eastAsia="楷体_GB2312" w:cs="楷体_GB2312"/>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1.推进公共停车场所充电基础设施建设。2023年7月，经公开招标，市投资集团取得</w:t>
      </w:r>
      <w:r>
        <w:rPr>
          <w:rFonts w:hint="default" w:ascii="Times New Roman" w:hAnsi="Times New Roman" w:eastAsia="仿宋_GB2312" w:cs="Times New Roman"/>
          <w:color w:val="auto"/>
          <w:sz w:val="32"/>
          <w:szCs w:val="32"/>
          <w:highlight w:val="none"/>
          <w:lang w:val="en" w:eastAsia="zh-CN"/>
        </w:rPr>
        <w:t>了</w:t>
      </w:r>
      <w:r>
        <w:rPr>
          <w:rFonts w:hint="eastAsia" w:ascii="Times New Roman" w:hAnsi="Times New Roman" w:eastAsia="仿宋_GB2312" w:cs="Times New Roman"/>
          <w:color w:val="auto"/>
          <w:sz w:val="32"/>
          <w:szCs w:val="32"/>
          <w:highlight w:val="none"/>
          <w:lang w:val="en-US" w:eastAsia="zh-CN"/>
        </w:rPr>
        <w:t>中心城区公共停车场（位）及新能源车充电桩设施建设运营特许经营权（以下简称特许经营权），为规范中心城区公共停车场充电基础设施建设运营管理，自市投资集团取得特许经营权之日起，中心城区公共区域充电设施管理全部纳入市投资集团特许经营范围，任何单位或个人不得私自新建安装充电站（桩），对私自建设安装的，市自然资源和</w:t>
      </w:r>
      <w:r>
        <w:rPr>
          <w:rFonts w:hint="default" w:ascii="Times New Roman" w:hAnsi="Times New Roman" w:eastAsia="仿宋_GB2312" w:cs="Times New Roman"/>
          <w:color w:val="auto"/>
          <w:sz w:val="32"/>
          <w:szCs w:val="32"/>
          <w:highlight w:val="none"/>
          <w:lang w:val="en" w:eastAsia="zh-CN"/>
        </w:rPr>
        <w:t>规划</w:t>
      </w:r>
      <w:r>
        <w:rPr>
          <w:rFonts w:hint="eastAsia" w:ascii="Times New Roman" w:hAnsi="Times New Roman" w:eastAsia="仿宋_GB2312" w:cs="Times New Roman"/>
          <w:color w:val="auto"/>
          <w:sz w:val="32"/>
          <w:szCs w:val="32"/>
          <w:highlight w:val="none"/>
          <w:lang w:val="en-US" w:eastAsia="zh-CN"/>
        </w:rPr>
        <w:t>部门不予供地，市发展改革部门不予备案，市供电企业不予供电，市公安部门加大打击力度。对公共停车场既有的存量充电基础设施，市投资集团应采取收购、合作、合资、租赁等模式，尽可能纳入统一管理范围。市投资集团应结合城市公共停车场规划建设，进一步优化城区公共充电网络布局</w:t>
      </w:r>
      <w:r>
        <w:rPr>
          <w:rFonts w:hint="default" w:ascii="Times New Roman" w:hAnsi="Times New Roman" w:eastAsia="仿宋_GB2312" w:cs="Times New Roman"/>
          <w:color w:val="auto"/>
          <w:sz w:val="32"/>
          <w:szCs w:val="32"/>
          <w:highlight w:val="none"/>
          <w:lang w:val="en" w:eastAsia="zh-CN"/>
        </w:rPr>
        <w:t>，</w:t>
      </w:r>
      <w:r>
        <w:rPr>
          <w:rFonts w:hint="eastAsia" w:ascii="Times New Roman" w:hAnsi="Times New Roman" w:eastAsia="仿宋_GB2312" w:cs="Times New Roman"/>
          <w:color w:val="auto"/>
          <w:sz w:val="32"/>
          <w:szCs w:val="32"/>
          <w:highlight w:val="none"/>
          <w:lang w:val="en-US" w:eastAsia="zh-CN"/>
        </w:rPr>
        <w:t>新建公共停车场以及具备停车条件的可利用场地，按照不低于停车位总数量10%的比例建设充电基础设施或预留安装条件。独立占地建设的集中式充换电站，应按照停车位总数量100%的比例建设充换电建设设施或预留安装条件。</w:t>
      </w:r>
      <w:r>
        <w:rPr>
          <w:rFonts w:hint="eastAsia" w:ascii="楷体_GB2312" w:hAnsi="楷体_GB2312" w:eastAsia="楷体_GB2312" w:cs="楷体_GB2312"/>
          <w:color w:val="auto"/>
          <w:sz w:val="32"/>
          <w:szCs w:val="32"/>
          <w:highlight w:val="none"/>
          <w:lang w:val="en-US" w:eastAsia="zh-CN"/>
        </w:rPr>
        <w:t>（责任单位：市公安局、市自然资源和规划局、市发展改革委、市住房城乡建设局、市城市管理局、市市场监管局、市商务局、周口供电公司、市投资集团、各区政府（管委会）、各县（市）人民政府）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楷体_GB2312" w:eastAsia="楷体_GB2312" w:cs="楷体_GB2312"/>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2.鼓励市投资集团与车站、码头、大型商超、宾馆、医院、学校、</w:t>
      </w:r>
      <w:r>
        <w:rPr>
          <w:rFonts w:hint="default" w:ascii="Times New Roman" w:hAnsi="Times New Roman" w:eastAsia="仿宋_GB2312" w:cs="Times New Roman"/>
          <w:color w:val="auto"/>
          <w:sz w:val="32"/>
          <w:szCs w:val="32"/>
          <w:highlight w:val="none"/>
          <w:lang w:val="en" w:eastAsia="zh-CN"/>
        </w:rPr>
        <w:t>文体场馆、公园、</w:t>
      </w:r>
      <w:r>
        <w:rPr>
          <w:rFonts w:hint="eastAsia" w:ascii="Times New Roman" w:hAnsi="Times New Roman" w:eastAsia="仿宋_GB2312" w:cs="Times New Roman"/>
          <w:color w:val="auto"/>
          <w:sz w:val="32"/>
          <w:szCs w:val="32"/>
          <w:highlight w:val="none"/>
          <w:lang w:val="en-US" w:eastAsia="zh-CN"/>
        </w:rPr>
        <w:t>旅游景区等</w:t>
      </w:r>
      <w:r>
        <w:rPr>
          <w:rFonts w:hint="default" w:ascii="Times New Roman" w:hAnsi="Times New Roman" w:eastAsia="仿宋_GB2312" w:cs="Times New Roman"/>
          <w:color w:val="auto"/>
          <w:sz w:val="32"/>
          <w:szCs w:val="32"/>
          <w:highlight w:val="none"/>
          <w:lang w:val="en" w:eastAsia="zh-CN"/>
        </w:rPr>
        <w:t>管理</w:t>
      </w:r>
      <w:r>
        <w:rPr>
          <w:rFonts w:hint="eastAsia" w:ascii="Times New Roman" w:hAnsi="Times New Roman" w:eastAsia="仿宋_GB2312" w:cs="Times New Roman"/>
          <w:color w:val="auto"/>
          <w:sz w:val="32"/>
          <w:szCs w:val="32"/>
          <w:highlight w:val="none"/>
          <w:lang w:val="en-US" w:eastAsia="zh-CN"/>
        </w:rPr>
        <w:t>单位合作，有序推进以上单位配建的停车场按照不低于停车位总数量10%的比例，逐步建设充电基础设施或预留安装条件。</w:t>
      </w:r>
      <w:r>
        <w:rPr>
          <w:rFonts w:hint="eastAsia" w:ascii="楷体_GB2312" w:hAnsi="楷体_GB2312" w:eastAsia="楷体_GB2312" w:cs="楷体_GB2312"/>
          <w:color w:val="auto"/>
          <w:sz w:val="32"/>
          <w:szCs w:val="32"/>
          <w:highlight w:val="none"/>
          <w:lang w:val="en-US" w:eastAsia="zh-CN"/>
        </w:rPr>
        <w:t>（责任单位：市发展改革委、市文化广电和旅游局、市卫生健康委、市</w:t>
      </w:r>
      <w:r>
        <w:rPr>
          <w:rFonts w:hint="eastAsia" w:ascii="楷体_GB2312" w:hAnsi="楷体_GB2312" w:eastAsia="楷体_GB2312" w:cs="楷体_GB2312"/>
          <w:color w:val="auto"/>
          <w:sz w:val="32"/>
          <w:szCs w:val="32"/>
          <w:highlight w:val="none"/>
          <w:lang w:val="en" w:eastAsia="zh-CN"/>
        </w:rPr>
        <w:t>交通运输局、市</w:t>
      </w:r>
      <w:r>
        <w:rPr>
          <w:rFonts w:hint="eastAsia" w:ascii="楷体_GB2312" w:hAnsi="楷体_GB2312" w:eastAsia="楷体_GB2312" w:cs="楷体_GB2312"/>
          <w:color w:val="auto"/>
          <w:sz w:val="32"/>
          <w:szCs w:val="32"/>
          <w:highlight w:val="none"/>
          <w:lang w:val="en-US" w:eastAsia="zh-CN"/>
        </w:rPr>
        <w:t>港航管理局</w:t>
      </w:r>
      <w:r>
        <w:rPr>
          <w:rFonts w:hint="eastAsia" w:ascii="楷体_GB2312" w:hAnsi="楷体_GB2312" w:eastAsia="楷体_GB2312" w:cs="楷体_GB2312"/>
          <w:color w:val="auto"/>
          <w:sz w:val="32"/>
          <w:szCs w:val="32"/>
          <w:highlight w:val="none"/>
          <w:lang w:val="en" w:eastAsia="zh-CN"/>
        </w:rPr>
        <w:t>、市</w:t>
      </w:r>
      <w:r>
        <w:rPr>
          <w:rFonts w:hint="eastAsia" w:ascii="楷体_GB2312" w:hAnsi="楷体_GB2312" w:eastAsia="楷体_GB2312" w:cs="楷体_GB2312"/>
          <w:color w:val="auto"/>
          <w:sz w:val="32"/>
          <w:szCs w:val="32"/>
          <w:highlight w:val="none"/>
          <w:lang w:val="en-US" w:eastAsia="zh-CN"/>
        </w:rPr>
        <w:t>商务局、市教育体育局、市</w:t>
      </w:r>
      <w:r>
        <w:rPr>
          <w:rFonts w:hint="eastAsia" w:ascii="楷体_GB2312" w:hAnsi="楷体_GB2312" w:eastAsia="楷体_GB2312" w:cs="楷体_GB2312"/>
          <w:color w:val="auto"/>
          <w:sz w:val="32"/>
          <w:szCs w:val="32"/>
          <w:highlight w:val="none"/>
          <w:lang w:val="en" w:eastAsia="zh-CN"/>
        </w:rPr>
        <w:t>城市管理局、周口</w:t>
      </w:r>
      <w:r>
        <w:rPr>
          <w:rFonts w:hint="eastAsia" w:ascii="楷体_GB2312" w:hAnsi="楷体_GB2312" w:eastAsia="楷体_GB2312" w:cs="楷体_GB2312"/>
          <w:color w:val="auto"/>
          <w:sz w:val="32"/>
          <w:szCs w:val="32"/>
          <w:highlight w:val="none"/>
          <w:lang w:val="en-US" w:eastAsia="zh-CN"/>
        </w:rPr>
        <w:t>供电公司、市投资集团、各区政府（管委会）、各县（市）人民政府）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楷体_GB2312" w:eastAsia="楷体_GB2312" w:cs="楷体_GB2312"/>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lang w:val="en-US" w:eastAsia="zh-CN"/>
        </w:rPr>
        <w:t>鼓励具备条件的加油</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气</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站</w:t>
      </w:r>
      <w:r>
        <w:rPr>
          <w:rFonts w:hint="eastAsia" w:ascii="Times New Roman" w:hAnsi="Times New Roman" w:eastAsia="仿宋_GB2312" w:cs="Times New Roman"/>
          <w:color w:val="auto"/>
          <w:szCs w:val="32"/>
          <w:highlight w:val="none"/>
        </w:rPr>
        <w:t>进行统一规划，并有序</w:t>
      </w:r>
      <w:r>
        <w:rPr>
          <w:rFonts w:hint="default" w:ascii="Times New Roman" w:hAnsi="Times New Roman" w:eastAsia="仿宋_GB2312" w:cs="Times New Roman"/>
          <w:color w:val="auto"/>
          <w:sz w:val="32"/>
          <w:szCs w:val="32"/>
          <w:highlight w:val="none"/>
          <w:lang w:val="en-US" w:eastAsia="zh-CN"/>
        </w:rPr>
        <w:t>改建、加装充电基础设施。</w:t>
      </w:r>
      <w:r>
        <w:rPr>
          <w:rFonts w:hint="eastAsia" w:ascii="楷体_GB2312" w:hAnsi="楷体_GB2312" w:eastAsia="楷体_GB2312" w:cs="楷体_GB2312"/>
          <w:color w:val="auto"/>
          <w:sz w:val="32"/>
          <w:szCs w:val="32"/>
          <w:highlight w:val="none"/>
          <w:lang w:val="en-US" w:eastAsia="zh-CN"/>
        </w:rPr>
        <w:t>（责任单位：市商务局、市自然资源和规划局、市城市管理局、周口供电公司、市投资集团、各区政府（管委会）、各县（市）人民政府）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napToGrid/>
        <w:spacing w:beforeAutospacing="0" w:afterAutospacing="0" w:line="560" w:lineRule="exact"/>
        <w:ind w:left="0" w:right="0" w:firstLine="640"/>
        <w:jc w:val="left"/>
        <w:textAlignment w:val="auto"/>
        <w:rPr>
          <w:rFonts w:hint="eastAsia" w:ascii="方正楷体_GBK" w:hAnsi="方正楷体_GBK" w:eastAsia="方正楷体_GBK" w:cs="方正楷体_GBK"/>
          <w:bCs/>
          <w:snapToGrid w:val="0"/>
          <w:color w:val="auto"/>
          <w:spacing w:val="-4"/>
          <w:sz w:val="32"/>
          <w:szCs w:val="32"/>
          <w:highlight w:val="none"/>
        </w:rPr>
      </w:pPr>
      <w:r>
        <w:rPr>
          <w:rFonts w:hint="eastAsia" w:ascii="楷体_GB2312" w:hAnsi="楷体_GB2312" w:eastAsia="楷体_GB2312" w:cs="楷体_GB2312"/>
          <w:bCs/>
          <w:snapToGrid w:val="0"/>
          <w:color w:val="auto"/>
          <w:spacing w:val="-4"/>
          <w:sz w:val="32"/>
          <w:szCs w:val="32"/>
          <w:highlight w:val="none"/>
        </w:rPr>
        <w:t>（三）推进专用充电</w:t>
      </w:r>
      <w:r>
        <w:rPr>
          <w:rFonts w:hint="eastAsia" w:ascii="楷体_GB2312" w:hAnsi="楷体_GB2312" w:eastAsia="楷体_GB2312" w:cs="楷体_GB2312"/>
          <w:bCs/>
          <w:snapToGrid w:val="0"/>
          <w:color w:val="auto"/>
          <w:spacing w:val="-4"/>
          <w:sz w:val="32"/>
          <w:szCs w:val="32"/>
          <w:highlight w:val="none"/>
          <w:lang w:eastAsia="zh-CN"/>
        </w:rPr>
        <w:t>基础</w:t>
      </w:r>
      <w:r>
        <w:rPr>
          <w:rFonts w:hint="eastAsia" w:ascii="楷体_GB2312" w:hAnsi="楷体_GB2312" w:eastAsia="楷体_GB2312" w:cs="楷体_GB2312"/>
          <w:bCs/>
          <w:snapToGrid w:val="0"/>
          <w:color w:val="auto"/>
          <w:spacing w:val="-4"/>
          <w:sz w:val="32"/>
          <w:szCs w:val="32"/>
          <w:highlight w:val="none"/>
        </w:rPr>
        <w:t>设施建设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楷体_GB2312" w:eastAsia="楷体_GB2312" w:cs="楷体_GB2312"/>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1.着力推进公共服务领域充电设施建设。在公交、环卫、物流、通勤等公共服务领域，因地制宜在运营线路沿线及场站配建充电设施。对于出租、租赁、公安巡逻等非定点定线运行的公共服务领域电动汽车，应充分挖掘单位内部停车场站配建充电基础设施的潜力，结合城市公共充电基础设施，实现高效互补。</w:t>
      </w:r>
      <w:r>
        <w:rPr>
          <w:rFonts w:hint="eastAsia" w:ascii="楷体_GB2312" w:hAnsi="楷体_GB2312" w:eastAsia="楷体_GB2312" w:cs="楷体_GB2312"/>
          <w:color w:val="auto"/>
          <w:sz w:val="32"/>
          <w:szCs w:val="32"/>
          <w:highlight w:val="none"/>
          <w:lang w:val="en-US" w:eastAsia="zh-CN"/>
        </w:rPr>
        <w:t>（责任单位：市交通运输局、市发展改革委、市公安局、市城市管理局、市投资集团、周口供电公司、各区政府（管委会）、各县（市）人民政府）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楷体_GB2312" w:eastAsia="楷体_GB2312" w:cs="楷体_GB2312"/>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2.推进单位内部停车位充电基础设施建设。推动具备条件的公共机构和企业结合单位电动汽车配备计划及职工购买使用电动汽车需求，合理规划建设充电设施。到2023年12月前，有独立办公楼</w:t>
      </w:r>
      <w:r>
        <w:rPr>
          <w:rFonts w:hint="default" w:ascii="Times New Roman" w:hAnsi="Times New Roman" w:eastAsia="仿宋_GB2312" w:cs="Times New Roman"/>
          <w:color w:val="auto"/>
          <w:sz w:val="32"/>
          <w:szCs w:val="32"/>
          <w:highlight w:val="none"/>
          <w:lang w:val="en" w:eastAsia="zh-CN"/>
        </w:rPr>
        <w:t>（区域）</w:t>
      </w:r>
      <w:r>
        <w:rPr>
          <w:rFonts w:hint="eastAsia" w:ascii="Times New Roman" w:hAnsi="Times New Roman" w:eastAsia="仿宋_GB2312" w:cs="Times New Roman"/>
          <w:color w:val="auto"/>
          <w:sz w:val="32"/>
          <w:szCs w:val="32"/>
          <w:highlight w:val="none"/>
          <w:lang w:val="en-US" w:eastAsia="zh-CN"/>
        </w:rPr>
        <w:t>的市直机关、中央和省驻周单位及市属国有企业配建充电设施的车位比例不低于15%。其他公共机构、工业园区应当利用内部停车场资源，按照不低于总停车位数量10%的比例建设电动汽车充电基础设施或预留建设安装条件，并根据实际需求逐步增加。鼓励符合开放条件的公共机构及企事业单位内部充电设施对外开放，进一步提升公共充电设施供给能力。</w:t>
      </w:r>
      <w:r>
        <w:rPr>
          <w:rFonts w:hint="eastAsia" w:ascii="楷体_GB2312" w:hAnsi="楷体_GB2312" w:eastAsia="楷体_GB2312" w:cs="楷体_GB2312"/>
          <w:color w:val="auto"/>
          <w:sz w:val="32"/>
          <w:szCs w:val="32"/>
          <w:highlight w:val="none"/>
          <w:lang w:val="en-US" w:eastAsia="zh-CN"/>
        </w:rPr>
        <w:t>（责任单位：市机关</w:t>
      </w:r>
      <w:r>
        <w:rPr>
          <w:rFonts w:hint="eastAsia" w:ascii="楷体_GB2312" w:hAnsi="楷体_GB2312" w:eastAsia="楷体_GB2312" w:cs="楷体_GB2312"/>
          <w:color w:val="auto"/>
          <w:sz w:val="32"/>
          <w:szCs w:val="32"/>
          <w:highlight w:val="none"/>
          <w:lang w:val="en" w:eastAsia="zh-CN"/>
        </w:rPr>
        <w:t>事务</w:t>
      </w:r>
      <w:r>
        <w:rPr>
          <w:rFonts w:hint="eastAsia" w:ascii="楷体_GB2312" w:hAnsi="楷体_GB2312" w:eastAsia="楷体_GB2312" w:cs="楷体_GB2312"/>
          <w:color w:val="auto"/>
          <w:sz w:val="32"/>
          <w:szCs w:val="32"/>
          <w:highlight w:val="none"/>
          <w:lang w:val="en-US" w:eastAsia="zh-CN"/>
        </w:rPr>
        <w:t>中心、市发展改革委、周口供电公司、市投资集团、各区政府（管委会）、各县（市）人民政府）</w:t>
      </w:r>
    </w:p>
    <w:p>
      <w:pPr>
        <w:pStyle w:val="2"/>
        <w:keepNext w:val="0"/>
        <w:keepLines w:val="0"/>
        <w:pageBreakBefore w:val="0"/>
        <w:widowControl w:val="0"/>
        <w:kinsoku/>
        <w:wordWrap/>
        <w:overflowPunct/>
        <w:topLinePunct w:val="0"/>
        <w:bidi w:val="0"/>
        <w:snapToGrid/>
        <w:jc w:val="both"/>
        <w:textAlignment w:val="auto"/>
        <w:rPr>
          <w:rFonts w:hint="default"/>
          <w:color w:val="auto"/>
          <w:highlight w:val="none"/>
          <w:lang w:val="en-US" w:eastAsia="zh-CN"/>
        </w:rPr>
      </w:pPr>
      <w:r>
        <w:rPr>
          <w:rFonts w:hint="eastAsia" w:ascii="Times New Roman" w:eastAsia="仿宋_GB2312" w:cs="Times New Roman"/>
          <w:color w:val="auto"/>
          <w:sz w:val="32"/>
          <w:szCs w:val="32"/>
          <w:highlight w:val="none"/>
          <w:lang w:val="en-US" w:eastAsia="zh-CN"/>
        </w:rPr>
        <w:t>3.新购置</w:t>
      </w:r>
      <w:r>
        <w:rPr>
          <w:rFonts w:hint="eastAsia" w:ascii="Times New Roman" w:hAnsi="Times New Roman" w:eastAsia="仿宋_GB2312" w:cs="Times New Roman"/>
          <w:color w:val="auto"/>
          <w:sz w:val="32"/>
          <w:szCs w:val="32"/>
          <w:highlight w:val="none"/>
          <w:lang w:val="en-US" w:eastAsia="zh-CN"/>
        </w:rPr>
        <w:t>公交、环卫、</w:t>
      </w:r>
      <w:r>
        <w:rPr>
          <w:rFonts w:hint="eastAsia" w:ascii="Times New Roman" w:eastAsia="仿宋_GB2312" w:cs="Times New Roman"/>
          <w:color w:val="auto"/>
          <w:sz w:val="32"/>
          <w:szCs w:val="32"/>
          <w:highlight w:val="none"/>
          <w:lang w:val="en-US" w:eastAsia="zh-CN"/>
        </w:rPr>
        <w:t>执法等车辆，除特殊要求外，原则上一律采购新能源汽车，并配建充电桩（位）。</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napToGrid/>
        <w:spacing w:beforeAutospacing="0" w:afterAutospacing="0" w:line="560" w:lineRule="exact"/>
        <w:ind w:left="0" w:right="0" w:firstLine="640"/>
        <w:jc w:val="left"/>
        <w:textAlignment w:val="auto"/>
        <w:rPr>
          <w:rFonts w:hint="eastAsia" w:ascii="方正楷体_GBK" w:hAnsi="方正楷体_GBK" w:eastAsia="方正楷体_GBK" w:cs="方正楷体_GBK"/>
          <w:bCs/>
          <w:snapToGrid w:val="0"/>
          <w:color w:val="auto"/>
          <w:spacing w:val="-4"/>
          <w:sz w:val="32"/>
          <w:szCs w:val="32"/>
          <w:highlight w:val="none"/>
          <w:lang w:eastAsia="zh-CN"/>
        </w:rPr>
      </w:pPr>
      <w:r>
        <w:rPr>
          <w:rFonts w:hint="eastAsia" w:ascii="楷体_GB2312" w:hAnsi="楷体_GB2312" w:eastAsia="楷体_GB2312" w:cs="楷体_GB2312"/>
          <w:bCs/>
          <w:snapToGrid w:val="0"/>
          <w:color w:val="auto"/>
          <w:spacing w:val="-4"/>
          <w:sz w:val="32"/>
          <w:szCs w:val="32"/>
          <w:highlight w:val="none"/>
        </w:rPr>
        <w:t>（</w:t>
      </w:r>
      <w:r>
        <w:rPr>
          <w:rFonts w:hint="eastAsia" w:ascii="楷体_GB2312" w:hAnsi="楷体_GB2312" w:eastAsia="楷体_GB2312" w:cs="楷体_GB2312"/>
          <w:bCs/>
          <w:snapToGrid w:val="0"/>
          <w:color w:val="auto"/>
          <w:spacing w:val="-4"/>
          <w:sz w:val="32"/>
          <w:szCs w:val="32"/>
          <w:highlight w:val="none"/>
          <w:lang w:eastAsia="zh-CN"/>
        </w:rPr>
        <w:t>四</w:t>
      </w:r>
      <w:r>
        <w:rPr>
          <w:rFonts w:hint="eastAsia" w:ascii="楷体_GB2312" w:hAnsi="楷体_GB2312" w:eastAsia="楷体_GB2312" w:cs="楷体_GB2312"/>
          <w:bCs/>
          <w:snapToGrid w:val="0"/>
          <w:color w:val="auto"/>
          <w:spacing w:val="-4"/>
          <w:sz w:val="32"/>
          <w:szCs w:val="32"/>
          <w:highlight w:val="none"/>
        </w:rPr>
        <w:t>）</w:t>
      </w:r>
      <w:r>
        <w:rPr>
          <w:rFonts w:hint="eastAsia" w:ascii="方正楷体_GBK" w:hAnsi="方正楷体_GBK" w:eastAsia="方正楷体_GBK" w:cs="方正楷体_GBK"/>
          <w:b w:val="0"/>
          <w:bCs w:val="0"/>
          <w:color w:val="auto"/>
          <w:highlight w:val="none"/>
        </w:rPr>
        <w:t>推进其他区域充电基础设施建设</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napToGrid/>
        <w:spacing w:beforeAutospacing="0" w:afterAutospacing="0" w:line="560" w:lineRule="exact"/>
        <w:ind w:left="0" w:right="0" w:firstLine="640"/>
        <w:jc w:val="left"/>
        <w:textAlignment w:val="auto"/>
        <w:rPr>
          <w:rFonts w:hint="eastAsia" w:ascii="楷体_GB2312" w:hAnsi="楷体_GB2312" w:eastAsia="楷体_GB2312" w:cs="楷体_GB2312"/>
          <w:color w:val="auto"/>
          <w:sz w:val="32"/>
          <w:szCs w:val="32"/>
          <w:highlight w:val="none"/>
          <w:lang w:val="en-US" w:eastAsia="zh-CN"/>
        </w:rPr>
      </w:pPr>
      <w:r>
        <w:rPr>
          <w:rFonts w:hint="eastAsia" w:ascii="CESI仿宋-GB2312" w:hAnsi="CESI仿宋-GB2312" w:eastAsia="CESI仿宋-GB2312" w:cs="CESI仿宋-GB2312"/>
          <w:bCs/>
          <w:snapToGrid w:val="0"/>
          <w:color w:val="auto"/>
          <w:spacing w:val="-4"/>
          <w:sz w:val="32"/>
          <w:szCs w:val="32"/>
          <w:highlight w:val="none"/>
          <w:lang w:val="en-US" w:eastAsia="zh-CN"/>
        </w:rPr>
        <w:t>1、</w:t>
      </w:r>
      <w:r>
        <w:rPr>
          <w:rFonts w:hint="eastAsia" w:ascii="CESI仿宋-GB2312" w:hAnsi="CESI仿宋-GB2312" w:eastAsia="CESI仿宋-GB2312" w:cs="CESI仿宋-GB2312"/>
          <w:bCs/>
          <w:snapToGrid w:val="0"/>
          <w:color w:val="auto"/>
          <w:spacing w:val="-4"/>
          <w:sz w:val="32"/>
          <w:szCs w:val="32"/>
          <w:highlight w:val="none"/>
          <w:lang w:eastAsia="zh-CN"/>
        </w:rPr>
        <w:t>加快公路</w:t>
      </w:r>
      <w:r>
        <w:rPr>
          <w:rFonts w:hint="eastAsia" w:ascii="CESI仿宋-GB2312" w:hAnsi="CESI仿宋-GB2312" w:eastAsia="CESI仿宋-GB2312" w:cs="CESI仿宋-GB2312"/>
          <w:bCs/>
          <w:snapToGrid w:val="0"/>
          <w:color w:val="auto"/>
          <w:spacing w:val="-4"/>
          <w:sz w:val="32"/>
          <w:szCs w:val="32"/>
          <w:highlight w:val="none"/>
          <w:lang w:val="en-US" w:eastAsia="zh-CN"/>
        </w:rPr>
        <w:t>沿线充电基础设施建设。</w:t>
      </w:r>
      <w:r>
        <w:rPr>
          <w:rFonts w:hint="eastAsia" w:ascii="Times New Roman" w:hAnsi="Times New Roman" w:eastAsia="仿宋_GB2312" w:cs="Times New Roman"/>
          <w:color w:val="auto"/>
          <w:sz w:val="32"/>
          <w:szCs w:val="32"/>
          <w:highlight w:val="none"/>
          <w:lang w:val="en-US" w:eastAsia="zh-CN"/>
        </w:rPr>
        <w:t>高速公路和普通国省干道服务区以及有条件的加油（气）站，应按不低于停车位总数量10%的比例逐步改造安装、建设配备充换电基础设施或预留安装条件。全市高速公路服务区充电设施服务覆盖率要达到100%。</w:t>
      </w:r>
      <w:r>
        <w:rPr>
          <w:rFonts w:hint="eastAsia" w:ascii="楷体_GB2312" w:hAnsi="楷体_GB2312" w:eastAsia="楷体_GB2312" w:cs="楷体_GB2312"/>
          <w:color w:val="auto"/>
          <w:sz w:val="32"/>
          <w:szCs w:val="32"/>
          <w:highlight w:val="none"/>
          <w:lang w:val="en-US" w:eastAsia="zh-CN"/>
        </w:rPr>
        <w:t>（责任单位：市交通运输局、市公路事业发展中心、市发展改革委、市自然资源和规划局、周口供电公司、市投资集团、各区政府（管委会）、各县（市）人民政府）</w:t>
      </w:r>
    </w:p>
    <w:p>
      <w:pPr>
        <w:pStyle w:val="2"/>
        <w:ind w:firstLine="640"/>
        <w:rPr>
          <w:rFonts w:hint="eastAsia"/>
          <w:color w:val="auto"/>
          <w:highlight w:val="none"/>
          <w:lang w:val="en-US" w:eastAsia="zh-CN"/>
        </w:rPr>
      </w:pPr>
      <w:r>
        <w:rPr>
          <w:rFonts w:hint="eastAsia" w:ascii="Times New Roman" w:eastAsia="仿宋_GB2312" w:cs="Times New Roman"/>
          <w:color w:val="auto"/>
          <w:kern w:val="2"/>
          <w:sz w:val="32"/>
          <w:szCs w:val="32"/>
          <w:highlight w:val="none"/>
        </w:rPr>
        <w:t>2</w:t>
      </w:r>
      <w:r>
        <w:rPr>
          <w:rFonts w:hint="eastAsia" w:ascii="Times New Roman" w:eastAsia="仿宋_GB2312" w:cs="Times New Roman"/>
          <w:color w:val="auto"/>
          <w:kern w:val="2"/>
          <w:sz w:val="32"/>
          <w:szCs w:val="32"/>
          <w:highlight w:val="none"/>
          <w:lang w:val="en-US" w:eastAsia="zh-CN"/>
        </w:rPr>
        <w:t>.</w:t>
      </w:r>
      <w:r>
        <w:rPr>
          <w:rFonts w:hint="eastAsia" w:ascii="Times New Roman" w:eastAsia="仿宋_GB2312" w:cs="Times New Roman"/>
          <w:color w:val="auto"/>
          <w:kern w:val="2"/>
          <w:sz w:val="32"/>
          <w:szCs w:val="32"/>
          <w:highlight w:val="none"/>
        </w:rPr>
        <w:t>推进农村地区充电基础设施建设。</w:t>
      </w:r>
      <w:r>
        <w:rPr>
          <w:rFonts w:hint="eastAsia" w:ascii="Times New Roman" w:eastAsia="仿宋_GB2312" w:cs="Times New Roman"/>
          <w:color w:val="auto"/>
          <w:kern w:val="2"/>
          <w:sz w:val="32"/>
          <w:szCs w:val="32"/>
          <w:highlight w:val="none"/>
          <w:lang w:eastAsia="zh-CN"/>
        </w:rPr>
        <w:t>支持新能源汽车下乡和乡村振兴，补齐农村乡镇充电设施建设短板，</w:t>
      </w:r>
      <w:r>
        <w:rPr>
          <w:rFonts w:hint="eastAsia" w:ascii="Times New Roman" w:eastAsia="仿宋_GB2312" w:cs="Times New Roman"/>
          <w:color w:val="auto"/>
          <w:kern w:val="2"/>
          <w:sz w:val="32"/>
          <w:szCs w:val="32"/>
          <w:highlight w:val="none"/>
        </w:rPr>
        <w:t>适度超前建设充电基础设施。鼓励特许经营单位在乡镇和相对集中的村组公共场所统一规划、统一建设公共充电基础设施，保障乡镇、村居民的充电需求。</w:t>
      </w:r>
      <w:r>
        <w:rPr>
          <w:rFonts w:hint="eastAsia" w:ascii="Times New Roman" w:eastAsia="仿宋_GB2312" w:cs="Times New Roman"/>
          <w:color w:val="auto"/>
          <w:sz w:val="32"/>
          <w:szCs w:val="32"/>
          <w:highlight w:val="none"/>
        </w:rPr>
        <w:t>（</w:t>
      </w:r>
      <w:r>
        <w:rPr>
          <w:rFonts w:hint="eastAsia" w:ascii="楷体_GB2312" w:hAnsi="楷体_GB2312" w:eastAsia="楷体_GB2312" w:cs="楷体_GB2312"/>
          <w:color w:val="auto"/>
          <w:sz w:val="32"/>
          <w:szCs w:val="32"/>
          <w:highlight w:val="none"/>
          <w:lang w:val="en-US" w:eastAsia="zh-CN"/>
        </w:rPr>
        <w:t>责任单位：市发展改革委、农业农村局、自然资源和规划局、投资集团、供电公司、各区政府（管委会）、各县（市）人民政府</w:t>
      </w:r>
      <w:r>
        <w:rPr>
          <w:rFonts w:hint="eastAsia" w:ascii="Times New Roman" w:eastAsia="仿宋_GB2312" w:cs="Times New Roman"/>
          <w:color w:val="auto"/>
          <w:sz w:val="32"/>
          <w:szCs w:val="32"/>
          <w:highlight w:val="none"/>
        </w:rPr>
        <w:t>）</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napToGrid/>
        <w:spacing w:beforeAutospacing="0" w:afterAutospacing="0" w:line="560" w:lineRule="exact"/>
        <w:ind w:left="0" w:right="0" w:firstLine="640"/>
        <w:jc w:val="left"/>
        <w:textAlignment w:val="auto"/>
        <w:rPr>
          <w:rFonts w:hint="eastAsia" w:ascii="CESI黑体-GB13000" w:hAnsi="CESI黑体-GB13000" w:eastAsia="CESI黑体-GB13000" w:cs="CESI黑体-GB13000"/>
          <w:bCs/>
          <w:snapToGrid w:val="0"/>
          <w:color w:val="auto"/>
          <w:spacing w:val="-4"/>
          <w:sz w:val="32"/>
          <w:szCs w:val="32"/>
          <w:highlight w:val="none"/>
        </w:rPr>
      </w:pPr>
      <w:r>
        <w:rPr>
          <w:rFonts w:hint="eastAsia" w:ascii="黑体" w:hAnsi="黑体" w:eastAsia="黑体" w:cs="黑体"/>
          <w:bCs/>
          <w:snapToGrid w:val="0"/>
          <w:color w:val="auto"/>
          <w:spacing w:val="-4"/>
          <w:sz w:val="32"/>
          <w:szCs w:val="32"/>
          <w:highlight w:val="none"/>
          <w:lang w:val="en-US" w:eastAsia="zh-CN"/>
        </w:rPr>
        <w:t>三</w:t>
      </w:r>
      <w:r>
        <w:rPr>
          <w:rFonts w:hint="eastAsia" w:ascii="黑体" w:hAnsi="黑体" w:eastAsia="黑体" w:cs="黑体"/>
          <w:bCs/>
          <w:snapToGrid w:val="0"/>
          <w:color w:val="auto"/>
          <w:spacing w:val="-4"/>
          <w:sz w:val="32"/>
          <w:szCs w:val="32"/>
          <w:highlight w:val="none"/>
        </w:rPr>
        <w:t>、建立充电服务体系</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firstLine="640"/>
        <w:jc w:val="both"/>
        <w:textAlignment w:val="auto"/>
        <w:rPr>
          <w:rFonts w:hint="eastAsia" w:ascii="方正楷体_GBK" w:hAnsi="方正楷体_GBK" w:eastAsia="方正楷体_GBK" w:cs="方正楷体_GBK"/>
          <w:bCs/>
          <w:snapToGrid w:val="0"/>
          <w:color w:val="auto"/>
          <w:spacing w:val="-4"/>
          <w:sz w:val="32"/>
          <w:szCs w:val="32"/>
          <w:highlight w:val="none"/>
        </w:rPr>
      </w:pPr>
      <w:r>
        <w:rPr>
          <w:rFonts w:hint="eastAsia" w:ascii="楷体_GB2312" w:hAnsi="楷体_GB2312" w:eastAsia="楷体_GB2312" w:cs="楷体_GB2312"/>
          <w:bCs/>
          <w:snapToGrid w:val="0"/>
          <w:color w:val="auto"/>
          <w:spacing w:val="-4"/>
          <w:sz w:val="32"/>
          <w:szCs w:val="32"/>
          <w:highlight w:val="none"/>
        </w:rPr>
        <w:t>（一）构建充电服务智能平台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楷体_GB2312" w:eastAsia="楷体_GB2312" w:cs="楷体_GB2312"/>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大力推进“互联网+充电设施”，按照政务服务、公共服务和互联互通的要求，建设完善市级充电设施公共数据采集与监测服务平台，为政府部门制定实施充电设施建设、运营、监管和财政等政策提供服务和技术支撑。有效整合不同企业平台的充换电服务信息资源，促进平台之间的互联互通、信息共享与统一结算，提升全市充电基础设施共建共享水平。</w:t>
      </w:r>
      <w:r>
        <w:rPr>
          <w:rFonts w:hint="eastAsia" w:ascii="楷体_GB2312" w:hAnsi="楷体_GB2312" w:eastAsia="楷体_GB2312" w:cs="楷体_GB2312"/>
          <w:color w:val="auto"/>
          <w:sz w:val="32"/>
          <w:szCs w:val="32"/>
          <w:highlight w:val="none"/>
          <w:lang w:val="en-US" w:eastAsia="zh-CN"/>
        </w:rPr>
        <w:t>（责任单位：市发展改革委、市行政审批政务信息管理局、周口供电公司、市投资集团、各区政府（管委会）、各县（市）人民政府）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firstLine="640"/>
        <w:jc w:val="both"/>
        <w:textAlignment w:val="auto"/>
        <w:rPr>
          <w:rFonts w:hint="eastAsia" w:ascii="楷体_GB2312" w:hAnsi="楷体_GB2312" w:eastAsia="楷体_GB2312" w:cs="楷体_GB2312"/>
          <w:bCs/>
          <w:snapToGrid w:val="0"/>
          <w:color w:val="auto"/>
          <w:spacing w:val="-4"/>
          <w:sz w:val="32"/>
          <w:szCs w:val="32"/>
          <w:highlight w:val="none"/>
        </w:rPr>
      </w:pPr>
      <w:r>
        <w:rPr>
          <w:rFonts w:hint="eastAsia" w:ascii="楷体_GB2312" w:hAnsi="楷体_GB2312" w:eastAsia="楷体_GB2312" w:cs="楷体_GB2312"/>
          <w:bCs/>
          <w:snapToGrid w:val="0"/>
          <w:color w:val="auto"/>
          <w:spacing w:val="-4"/>
          <w:sz w:val="32"/>
          <w:szCs w:val="32"/>
          <w:highlight w:val="none"/>
        </w:rPr>
        <w:t>（二）制定财政</w:t>
      </w:r>
      <w:r>
        <w:rPr>
          <w:rFonts w:hint="eastAsia" w:ascii="楷体_GB2312" w:hAnsi="楷体_GB2312" w:eastAsia="楷体_GB2312" w:cs="楷体_GB2312"/>
          <w:bCs/>
          <w:snapToGrid w:val="0"/>
          <w:color w:val="auto"/>
          <w:spacing w:val="-4"/>
          <w:sz w:val="32"/>
          <w:szCs w:val="32"/>
          <w:highlight w:val="none"/>
          <w:lang w:eastAsia="zh-CN"/>
        </w:rPr>
        <w:t>奖补</w:t>
      </w:r>
      <w:r>
        <w:rPr>
          <w:rFonts w:hint="eastAsia" w:ascii="楷体_GB2312" w:hAnsi="楷体_GB2312" w:eastAsia="楷体_GB2312" w:cs="楷体_GB2312"/>
          <w:bCs/>
          <w:snapToGrid w:val="0"/>
          <w:color w:val="auto"/>
          <w:spacing w:val="-4"/>
          <w:sz w:val="32"/>
          <w:szCs w:val="32"/>
          <w:highlight w:val="none"/>
        </w:rPr>
        <w:t>政策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楷体_GB2312" w:eastAsia="楷体_GB2312" w:cs="楷体_GB2312"/>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研究制定财政鼓励政策，支持充电设施建设、改造升级和充电服务平台建设运营等相关领域。支持充电设施建设项目申请国家专项建设基金和省财政奖补资金。</w:t>
      </w:r>
      <w:r>
        <w:rPr>
          <w:rFonts w:hint="eastAsia" w:ascii="楷体_GB2312" w:hAnsi="楷体_GB2312" w:eastAsia="楷体_GB2312" w:cs="楷体_GB2312"/>
          <w:color w:val="auto"/>
          <w:sz w:val="32"/>
          <w:szCs w:val="32"/>
          <w:highlight w:val="none"/>
          <w:lang w:val="en-US" w:eastAsia="zh-CN"/>
        </w:rPr>
        <w:t>（责任单位：市发展改革委、市财政局、市公安局、市交通运输局、市住房城乡建设局、市工业和信息化局、各区政府（管委会）、各县（市）人民政府）</w:t>
      </w:r>
    </w:p>
    <w:p>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autoSpaceDE/>
        <w:autoSpaceDN/>
        <w:bidi w:val="0"/>
        <w:adjustRightInd/>
        <w:snapToGrid/>
        <w:spacing w:before="0" w:beforeAutospacing="0" w:after="0" w:afterAutospacing="0" w:line="560" w:lineRule="exact"/>
        <w:ind w:left="0" w:right="0" w:firstLine="624" w:firstLineChars="200"/>
        <w:jc w:val="both"/>
        <w:textAlignment w:val="auto"/>
        <w:rPr>
          <w:rFonts w:hint="eastAsia" w:ascii="楷体_GB2312" w:hAnsi="楷体_GB2312" w:eastAsia="楷体_GB2312" w:cs="楷体_GB2312"/>
          <w:bCs/>
          <w:snapToGrid w:val="0"/>
          <w:color w:val="auto"/>
          <w:spacing w:val="-4"/>
          <w:kern w:val="2"/>
          <w:sz w:val="32"/>
          <w:szCs w:val="32"/>
          <w:highlight w:val="none"/>
          <w:lang w:val="en-US" w:eastAsia="zh-CN" w:bidi="ar-SA"/>
        </w:rPr>
      </w:pPr>
      <w:r>
        <w:rPr>
          <w:rFonts w:hint="eastAsia" w:ascii="楷体_GB2312" w:hAnsi="楷体_GB2312" w:eastAsia="楷体_GB2312" w:cs="楷体_GB2312"/>
          <w:bCs/>
          <w:snapToGrid w:val="0"/>
          <w:color w:val="auto"/>
          <w:spacing w:val="-4"/>
          <w:kern w:val="2"/>
          <w:sz w:val="32"/>
          <w:szCs w:val="32"/>
          <w:highlight w:val="none"/>
          <w:lang w:val="en-US" w:eastAsia="zh-CN" w:bidi="ar-SA"/>
        </w:rPr>
        <w:t>（三）加大金融支持力度</w:t>
      </w:r>
    </w:p>
    <w:p>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autoSpaceDE/>
        <w:autoSpaceDN/>
        <w:bidi w:val="0"/>
        <w:adjustRightInd/>
        <w:snapToGrid/>
        <w:spacing w:before="0" w:beforeAutospacing="0" w:after="0" w:afterAutospacing="0" w:line="560" w:lineRule="exact"/>
        <w:ind w:left="0" w:right="0" w:firstLine="640" w:firstLineChars="200"/>
        <w:jc w:val="both"/>
        <w:textAlignment w:val="auto"/>
        <w:rPr>
          <w:rFonts w:hint="eastAsia" w:ascii="楷体_GB2312" w:hAnsi="楷体_GB2312" w:eastAsia="楷体_GB2312" w:cs="楷体_GB2312"/>
          <w:color w:val="auto"/>
          <w:kern w:val="2"/>
          <w:sz w:val="32"/>
          <w:szCs w:val="32"/>
          <w:highlight w:val="none"/>
          <w:lang w:val="en-US" w:eastAsia="zh-CN" w:bidi="ar-SA"/>
        </w:rPr>
      </w:pPr>
      <w:r>
        <w:rPr>
          <w:rFonts w:hint="eastAsia" w:ascii="Times New Roman" w:hAnsi="Times New Roman" w:eastAsia="仿宋_GB2312" w:cs="Times New Roman"/>
          <w:color w:val="auto"/>
          <w:kern w:val="2"/>
          <w:sz w:val="32"/>
          <w:szCs w:val="32"/>
          <w:highlight w:val="none"/>
          <w:lang w:val="en-US" w:eastAsia="zh-CN" w:bidi="ar-SA"/>
        </w:rPr>
        <w:t>鼓励金融机构创新金融产品，扩大对充电设施建设企业的授信范围，增加授信额度。各地可通过专项债券融资等方式，支持公交和出租车场站以及社会公共停车场等公共服务领域充电设施建设。支持符合条件的充电设施建设企业通过发行企业债券、公司债券、引入绿色基金投资等方式扩大融资。</w:t>
      </w:r>
      <w:r>
        <w:rPr>
          <w:rFonts w:hint="eastAsia" w:ascii="楷体_GB2312" w:hAnsi="楷体_GB2312" w:eastAsia="楷体_GB2312" w:cs="楷体_GB2312"/>
          <w:color w:val="auto"/>
          <w:kern w:val="2"/>
          <w:sz w:val="32"/>
          <w:szCs w:val="32"/>
          <w:highlight w:val="none"/>
          <w:lang w:val="en-US" w:eastAsia="zh-CN" w:bidi="ar-SA"/>
        </w:rPr>
        <w:t>（责任单位：周口银保监分局、市金融工作局、市发展改革委、市财政局、周口供电公司、市投资集团、各区政府（管委会）、各县（市）人民政府）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firstLine="640"/>
        <w:jc w:val="both"/>
        <w:textAlignment w:val="auto"/>
        <w:rPr>
          <w:rFonts w:hint="eastAsia" w:ascii="楷体_GB2312" w:hAnsi="楷体_GB2312" w:eastAsia="楷体_GB2312" w:cs="楷体_GB2312"/>
          <w:bCs/>
          <w:snapToGrid w:val="0"/>
          <w:color w:val="auto"/>
          <w:spacing w:val="-4"/>
          <w:kern w:val="2"/>
          <w:sz w:val="32"/>
          <w:szCs w:val="32"/>
          <w:highlight w:val="none"/>
          <w:lang w:val="en-US" w:eastAsia="zh-CN" w:bidi="ar-SA"/>
        </w:rPr>
      </w:pPr>
      <w:r>
        <w:rPr>
          <w:rFonts w:hint="eastAsia" w:ascii="楷体_GB2312" w:hAnsi="楷体_GB2312" w:eastAsia="楷体_GB2312" w:cs="楷体_GB2312"/>
          <w:bCs/>
          <w:snapToGrid w:val="0"/>
          <w:color w:val="auto"/>
          <w:spacing w:val="-4"/>
          <w:kern w:val="2"/>
          <w:sz w:val="32"/>
          <w:szCs w:val="32"/>
          <w:highlight w:val="none"/>
          <w:lang w:val="en-US" w:eastAsia="zh-CN" w:bidi="ar-SA"/>
        </w:rPr>
        <w:t>（四）加强配电网接入服务</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firstLine="640"/>
        <w:jc w:val="both"/>
        <w:textAlignment w:val="auto"/>
        <w:rPr>
          <w:rFonts w:hint="eastAsia" w:ascii="楷体_GB2312" w:hAnsi="楷体_GB2312" w:eastAsia="楷体_GB2312" w:cs="楷体_GB2312"/>
          <w:color w:val="auto"/>
          <w:kern w:val="2"/>
          <w:sz w:val="32"/>
          <w:szCs w:val="32"/>
          <w:highlight w:val="none"/>
          <w:lang w:val="en-US" w:eastAsia="zh-CN" w:bidi="ar-SA"/>
        </w:rPr>
      </w:pPr>
      <w:r>
        <w:rPr>
          <w:rFonts w:hint="eastAsia" w:ascii="Times New Roman" w:hAnsi="Times New Roman" w:eastAsia="仿宋_GB2312" w:cs="Times New Roman"/>
          <w:color w:val="auto"/>
          <w:kern w:val="2"/>
          <w:sz w:val="32"/>
          <w:szCs w:val="32"/>
          <w:highlight w:val="none"/>
          <w:lang w:val="en-US" w:eastAsia="zh-CN" w:bidi="ar-SA"/>
        </w:rPr>
        <w:t>要将充电基础设施配套电网建设与改造项目纳入配电网专项规划，在用地保障等方面给予支持。电网企业要简化办事流程，为充电基础设施建设运营提供优质服务，并负责建设、运行和维护充电基础设施产权分界点至电网的配套接网工程，保障电力供应。</w:t>
      </w:r>
      <w:r>
        <w:rPr>
          <w:rFonts w:hint="eastAsia" w:ascii="楷体_GB2312" w:hAnsi="楷体_GB2312" w:eastAsia="楷体_GB2312" w:cs="楷体_GB2312"/>
          <w:color w:val="auto"/>
          <w:kern w:val="2"/>
          <w:sz w:val="32"/>
          <w:szCs w:val="32"/>
          <w:highlight w:val="none"/>
          <w:lang w:val="en-US" w:eastAsia="zh-CN" w:bidi="ar-SA"/>
        </w:rPr>
        <w:t>（责任单位：市发展改革委、市自然资源和规划局、周口供电公司、各区政府（管委会）、各县（市）人民政府）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firstLine="640"/>
        <w:jc w:val="both"/>
        <w:textAlignment w:val="auto"/>
        <w:rPr>
          <w:rFonts w:hint="eastAsia" w:ascii="楷体_GB2312" w:hAnsi="楷体_GB2312" w:eastAsia="楷体_GB2312" w:cs="楷体_GB2312"/>
          <w:bCs/>
          <w:snapToGrid w:val="0"/>
          <w:color w:val="auto"/>
          <w:spacing w:val="-4"/>
          <w:kern w:val="2"/>
          <w:sz w:val="32"/>
          <w:szCs w:val="32"/>
          <w:highlight w:val="none"/>
          <w:lang w:val="en-US" w:eastAsia="zh-CN" w:bidi="ar-SA"/>
        </w:rPr>
      </w:pPr>
      <w:r>
        <w:rPr>
          <w:rFonts w:hint="eastAsia" w:ascii="楷体_GB2312" w:hAnsi="楷体_GB2312" w:eastAsia="楷体_GB2312" w:cs="楷体_GB2312"/>
          <w:bCs/>
          <w:snapToGrid w:val="0"/>
          <w:color w:val="auto"/>
          <w:spacing w:val="-4"/>
          <w:kern w:val="2"/>
          <w:sz w:val="32"/>
          <w:szCs w:val="32"/>
          <w:highlight w:val="none"/>
          <w:lang w:val="en-US" w:eastAsia="zh-CN" w:bidi="ar-SA"/>
        </w:rPr>
        <w:t>（五）规范服务费收取行为</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firstLine="640"/>
        <w:jc w:val="both"/>
        <w:textAlignment w:val="auto"/>
        <w:rPr>
          <w:rFonts w:hint="eastAsia" w:ascii="楷体_GB2312" w:hAnsi="楷体_GB2312" w:eastAsia="楷体_GB2312" w:cs="楷体_GB2312"/>
          <w:color w:val="auto"/>
          <w:kern w:val="2"/>
          <w:sz w:val="32"/>
          <w:szCs w:val="32"/>
          <w:highlight w:val="none"/>
          <w:lang w:val="en-US" w:eastAsia="zh-CN" w:bidi="ar-SA"/>
        </w:rPr>
      </w:pPr>
      <w:r>
        <w:rPr>
          <w:rFonts w:hint="eastAsia" w:ascii="Times New Roman" w:hAnsi="Times New Roman" w:eastAsia="仿宋_GB2312" w:cs="Times New Roman"/>
          <w:color w:val="auto"/>
          <w:kern w:val="2"/>
          <w:sz w:val="32"/>
          <w:szCs w:val="32"/>
          <w:highlight w:val="none"/>
          <w:lang w:val="en-US" w:eastAsia="zh-CN" w:bidi="ar-SA"/>
        </w:rPr>
        <w:t>充电服务费通过市场竞争形成价格，充电服务收费标准应在服务场所显著位置进行公示。对在个人停车位（库）建设充电设施的，实行“一桩一表”分表计量，物业服务企业不得收取报装费、增容费、涉电安全费等与用电有关的费用；对“合表”居民区，物业服务企业不得收取无实质服务内容的涉电费用。从产权分界点至公共电网的配套电网工程建设和运行维护，电网企业不得收取接网费用。</w:t>
      </w:r>
      <w:r>
        <w:rPr>
          <w:rFonts w:hint="eastAsia" w:ascii="楷体_GB2312" w:hAnsi="楷体_GB2312" w:eastAsia="楷体_GB2312" w:cs="楷体_GB2312"/>
          <w:color w:val="auto"/>
          <w:kern w:val="2"/>
          <w:sz w:val="32"/>
          <w:szCs w:val="32"/>
          <w:highlight w:val="none"/>
          <w:lang w:val="en-US" w:eastAsia="zh-CN" w:bidi="ar-SA"/>
        </w:rPr>
        <w:t>（责任单位：市发展改革委、市住房城乡建设局、市市场监管局、周口供电公司、各区政府（管委会）、各县（市）人民政府）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firstLine="640"/>
        <w:jc w:val="both"/>
        <w:textAlignment w:val="auto"/>
        <w:rPr>
          <w:rFonts w:hint="eastAsia" w:ascii="CESI黑体-GB13000" w:hAnsi="CESI黑体-GB13000" w:eastAsia="CESI黑体-GB13000" w:cs="CESI黑体-GB13000"/>
          <w:bCs/>
          <w:snapToGrid w:val="0"/>
          <w:color w:val="auto"/>
          <w:spacing w:val="-4"/>
          <w:sz w:val="32"/>
          <w:szCs w:val="32"/>
          <w:highlight w:val="none"/>
        </w:rPr>
      </w:pPr>
      <w:r>
        <w:rPr>
          <w:rFonts w:hint="eastAsia" w:ascii="黑体" w:hAnsi="黑体" w:eastAsia="黑体" w:cs="黑体"/>
          <w:bCs/>
          <w:snapToGrid w:val="0"/>
          <w:color w:val="auto"/>
          <w:spacing w:val="-4"/>
          <w:sz w:val="32"/>
          <w:szCs w:val="32"/>
          <w:highlight w:val="none"/>
          <w:lang w:val="en-US" w:eastAsia="zh-CN"/>
        </w:rPr>
        <w:t>四</w:t>
      </w:r>
      <w:r>
        <w:rPr>
          <w:rFonts w:hint="eastAsia" w:ascii="黑体" w:hAnsi="黑体" w:eastAsia="黑体" w:cs="黑体"/>
          <w:bCs/>
          <w:snapToGrid w:val="0"/>
          <w:color w:val="auto"/>
          <w:spacing w:val="-4"/>
          <w:sz w:val="32"/>
          <w:szCs w:val="32"/>
          <w:highlight w:val="none"/>
        </w:rPr>
        <w:t>、加强建设运营管理</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firstLine="640"/>
        <w:jc w:val="both"/>
        <w:textAlignment w:val="auto"/>
        <w:rPr>
          <w:rFonts w:hint="eastAsia" w:ascii="楷体_GB2312" w:hAnsi="楷体_GB2312" w:eastAsia="楷体_GB2312" w:cs="楷体_GB2312"/>
          <w:bCs/>
          <w:snapToGrid w:val="0"/>
          <w:color w:val="auto"/>
          <w:spacing w:val="-4"/>
          <w:sz w:val="32"/>
          <w:szCs w:val="32"/>
          <w:highlight w:val="none"/>
        </w:rPr>
      </w:pPr>
      <w:r>
        <w:rPr>
          <w:rFonts w:hint="eastAsia" w:ascii="楷体_GB2312" w:hAnsi="楷体_GB2312" w:eastAsia="楷体_GB2312" w:cs="楷体_GB2312"/>
          <w:bCs/>
          <w:snapToGrid w:val="0"/>
          <w:color w:val="auto"/>
          <w:spacing w:val="-4"/>
          <w:sz w:val="32"/>
          <w:szCs w:val="32"/>
          <w:highlight w:val="none"/>
        </w:rPr>
        <w:t>（一）简化投资建设审批</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firstLine="640"/>
        <w:jc w:val="both"/>
        <w:textAlignment w:val="auto"/>
        <w:rPr>
          <w:rFonts w:hint="eastAsia"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个人在自有停车位，各居住区、单位在既有停车位安装充电基础设施以及配套简易防雨设施的，直接向所在地供电单位办理用电申请，无需办理建设工程规划许可证和施工许可证。建设社会公共停车场（楼）时，无需为同步建设的充电设施单独办理建设工程规划许可证和施工许可证。对必须办理规划建设审批手续的新建独立占地的集中式充换电站，应加快办理速度、简化建设施工安装报建流程。充电设施建设涉及施工临时占道、电缆管沟挖掘敷设、占用公共绿地的，城市管理等部门应予以支持，实行简易报装程序。</w:t>
      </w:r>
      <w:r>
        <w:rPr>
          <w:rFonts w:hint="eastAsia" w:ascii="楷体_GB2312" w:hAnsi="楷体_GB2312" w:eastAsia="楷体_GB2312" w:cs="楷体_GB2312"/>
          <w:color w:val="auto"/>
          <w:sz w:val="32"/>
          <w:szCs w:val="32"/>
          <w:highlight w:val="none"/>
          <w:lang w:val="en-US" w:eastAsia="zh-CN"/>
        </w:rPr>
        <w:t>（责任单位：市城市管理局、市自然资源和规划局、市发展改革委、市住房城乡建设局、市投资集团、周口供电公司、各区政府（管委会）、各县（市）人民政府）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firstLine="640"/>
        <w:jc w:val="both"/>
        <w:textAlignment w:val="auto"/>
        <w:rPr>
          <w:rFonts w:hint="eastAsia" w:ascii="楷体_GB2312" w:hAnsi="楷体_GB2312" w:eastAsia="楷体_GB2312" w:cs="楷体_GB2312"/>
          <w:bCs/>
          <w:snapToGrid w:val="0"/>
          <w:color w:val="auto"/>
          <w:spacing w:val="-4"/>
          <w:sz w:val="32"/>
          <w:szCs w:val="32"/>
          <w:highlight w:val="none"/>
        </w:rPr>
      </w:pPr>
      <w:r>
        <w:rPr>
          <w:rFonts w:hint="eastAsia" w:ascii="楷体_GB2312" w:hAnsi="楷体_GB2312" w:eastAsia="楷体_GB2312" w:cs="楷体_GB2312"/>
          <w:bCs/>
          <w:snapToGrid w:val="0"/>
          <w:color w:val="auto"/>
          <w:spacing w:val="-4"/>
          <w:sz w:val="32"/>
          <w:szCs w:val="32"/>
          <w:highlight w:val="none"/>
        </w:rPr>
        <w:t>（</w:t>
      </w:r>
      <w:r>
        <w:rPr>
          <w:rFonts w:hint="eastAsia" w:ascii="楷体_GB2312" w:hAnsi="楷体_GB2312" w:eastAsia="楷体_GB2312" w:cs="楷体_GB2312"/>
          <w:bCs/>
          <w:snapToGrid w:val="0"/>
          <w:color w:val="auto"/>
          <w:spacing w:val="-4"/>
          <w:sz w:val="32"/>
          <w:szCs w:val="32"/>
          <w:highlight w:val="none"/>
          <w:lang w:val="en-US" w:eastAsia="zh-CN"/>
        </w:rPr>
        <w:t>二</w:t>
      </w:r>
      <w:r>
        <w:rPr>
          <w:rFonts w:hint="eastAsia" w:ascii="楷体_GB2312" w:hAnsi="楷体_GB2312" w:eastAsia="楷体_GB2312" w:cs="楷体_GB2312"/>
          <w:bCs/>
          <w:snapToGrid w:val="0"/>
          <w:color w:val="auto"/>
          <w:spacing w:val="-4"/>
          <w:sz w:val="32"/>
          <w:szCs w:val="32"/>
          <w:highlight w:val="none"/>
        </w:rPr>
        <w:t>）</w:t>
      </w:r>
      <w:r>
        <w:rPr>
          <w:rFonts w:hint="eastAsia" w:ascii="楷体_GB2312" w:hAnsi="楷体_GB2312" w:eastAsia="楷体_GB2312" w:cs="楷体_GB2312"/>
          <w:bCs/>
          <w:snapToGrid w:val="0"/>
          <w:color w:val="auto"/>
          <w:spacing w:val="-4"/>
          <w:sz w:val="32"/>
          <w:szCs w:val="32"/>
          <w:highlight w:val="none"/>
          <w:lang w:eastAsia="zh-CN"/>
        </w:rPr>
        <w:t>强化</w:t>
      </w:r>
      <w:r>
        <w:rPr>
          <w:rFonts w:hint="eastAsia" w:ascii="楷体_GB2312" w:hAnsi="楷体_GB2312" w:eastAsia="楷体_GB2312" w:cs="楷体_GB2312"/>
          <w:bCs/>
          <w:snapToGrid w:val="0"/>
          <w:color w:val="auto"/>
          <w:spacing w:val="-4"/>
          <w:sz w:val="32"/>
          <w:szCs w:val="32"/>
          <w:highlight w:val="none"/>
        </w:rPr>
        <w:t>建设运营</w:t>
      </w:r>
      <w:r>
        <w:rPr>
          <w:rFonts w:hint="eastAsia" w:ascii="楷体_GB2312" w:hAnsi="楷体_GB2312" w:eastAsia="楷体_GB2312" w:cs="楷体_GB2312"/>
          <w:bCs/>
          <w:snapToGrid w:val="0"/>
          <w:color w:val="auto"/>
          <w:spacing w:val="-4"/>
          <w:sz w:val="32"/>
          <w:szCs w:val="32"/>
          <w:highlight w:val="none"/>
          <w:lang w:eastAsia="zh-CN"/>
        </w:rPr>
        <w:t>安全</w:t>
      </w:r>
      <w:r>
        <w:rPr>
          <w:rFonts w:hint="eastAsia" w:ascii="楷体_GB2312" w:hAnsi="楷体_GB2312" w:eastAsia="楷体_GB2312" w:cs="楷体_GB2312"/>
          <w:bCs/>
          <w:snapToGrid w:val="0"/>
          <w:color w:val="auto"/>
          <w:spacing w:val="-4"/>
          <w:sz w:val="32"/>
          <w:szCs w:val="32"/>
          <w:highlight w:val="none"/>
        </w:rPr>
        <w:t>管理</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firstLine="640"/>
        <w:jc w:val="both"/>
        <w:textAlignment w:val="auto"/>
        <w:rPr>
          <w:rFonts w:hint="eastAsia" w:ascii="楷体_GB2312" w:hAnsi="楷体_GB2312" w:eastAsia="楷体_GB2312" w:cs="楷体_GB2312"/>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电动汽车充换电基础设施建设应遵循国家相关政策规定，符合国家和行业相关技术标准、设计规范和管理要求，并由具备相应资质的施工单位承建。建立充电基础设施安全管理体系，充电设施制造商、充电设施所有权人应当承担运行维护责任。充电基础设施投入使用前，所有权人应按照《电动汽车充电站设计规范》GB 50966、《电动汽车充换电设施工程施工和竣工验收规范》NB/T 33004等标准规范，开展竣工验收。自用充电基础设施的验收可由用户或其委托的电动汽车企业、施工单位会同小区物业企业完成，未经验收合格，不得投入使用。充电基础设施竣工验收合格后，所有权人应将竣工验收报告及相关资料留存备查。加强安全监管，依法依规对充电设施设置场所实施消防设计审核、消防验收和监督检查。加强充电设施供用电环节监管，加大对用户私拉电线、违规用电、不规范建设施工等行为的查处力度。</w:t>
      </w:r>
      <w:r>
        <w:rPr>
          <w:rFonts w:hint="eastAsia" w:ascii="楷体_GB2312" w:hAnsi="楷体_GB2312" w:eastAsia="楷体_GB2312" w:cs="楷体_GB2312"/>
          <w:color w:val="auto"/>
          <w:sz w:val="32"/>
          <w:szCs w:val="32"/>
          <w:highlight w:val="none"/>
          <w:lang w:val="en-US" w:eastAsia="zh-CN"/>
        </w:rPr>
        <w:t>（责任单位：市应急局、市住房城乡建设局、市市场监管局、市公安局、市城市管理局、市投资集团、周口供电公司、各区政府（管委会）、各县（市）人民政府）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firstLine="640"/>
        <w:jc w:val="both"/>
        <w:textAlignment w:val="auto"/>
        <w:rPr>
          <w:rFonts w:hint="eastAsia" w:ascii="CESI黑体-GB13000" w:hAnsi="CESI黑体-GB13000" w:eastAsia="CESI黑体-GB13000" w:cs="CESI黑体-GB13000"/>
          <w:bCs/>
          <w:snapToGrid w:val="0"/>
          <w:color w:val="auto"/>
          <w:spacing w:val="-4"/>
          <w:sz w:val="32"/>
          <w:szCs w:val="32"/>
          <w:highlight w:val="none"/>
        </w:rPr>
      </w:pPr>
      <w:r>
        <w:rPr>
          <w:rFonts w:hint="eastAsia" w:ascii="黑体" w:hAnsi="黑体" w:eastAsia="黑体" w:cs="黑体"/>
          <w:bCs/>
          <w:snapToGrid w:val="0"/>
          <w:color w:val="auto"/>
          <w:spacing w:val="-4"/>
          <w:sz w:val="32"/>
          <w:szCs w:val="32"/>
          <w:highlight w:val="none"/>
          <w:lang w:eastAsia="zh-CN"/>
        </w:rPr>
        <w:t>五、</w:t>
      </w:r>
      <w:r>
        <w:rPr>
          <w:rFonts w:hint="eastAsia" w:ascii="黑体" w:hAnsi="黑体" w:eastAsia="黑体" w:cs="黑体"/>
          <w:bCs/>
          <w:snapToGrid w:val="0"/>
          <w:color w:val="auto"/>
          <w:spacing w:val="-4"/>
          <w:sz w:val="32"/>
          <w:szCs w:val="32"/>
          <w:highlight w:val="none"/>
        </w:rPr>
        <w:t>保障措施</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firstLine="640"/>
        <w:jc w:val="both"/>
        <w:textAlignment w:val="auto"/>
        <w:rPr>
          <w:rFonts w:hint="eastAsia" w:ascii="楷体_GB2312" w:hAnsi="楷体_GB2312" w:eastAsia="楷体_GB2312" w:cs="楷体_GB2312"/>
          <w:bCs/>
          <w:snapToGrid w:val="0"/>
          <w:color w:val="auto"/>
          <w:spacing w:val="-4"/>
          <w:sz w:val="32"/>
          <w:szCs w:val="32"/>
          <w:highlight w:val="none"/>
          <w:lang w:val="en-US" w:eastAsia="zh-CN"/>
        </w:rPr>
      </w:pPr>
      <w:r>
        <w:rPr>
          <w:rFonts w:hint="eastAsia" w:ascii="楷体_GB2312" w:hAnsi="楷体_GB2312" w:eastAsia="楷体_GB2312" w:cs="楷体_GB2312"/>
          <w:bCs/>
          <w:snapToGrid w:val="0"/>
          <w:color w:val="auto"/>
          <w:spacing w:val="-4"/>
          <w:sz w:val="32"/>
          <w:szCs w:val="32"/>
          <w:highlight w:val="none"/>
          <w:lang w:val="en-US" w:eastAsia="zh-CN"/>
        </w:rPr>
        <w:t>（一）强化组织领导</w:t>
      </w:r>
    </w:p>
    <w:p>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highlight w:val="none"/>
        </w:rPr>
      </w:pPr>
      <w:r>
        <w:rPr>
          <w:rFonts w:hint="eastAsia" w:ascii="Times New Roman" w:hAnsi="Times New Roman" w:eastAsia="仿宋_GB2312" w:cs="Times New Roman"/>
          <w:color w:val="auto"/>
          <w:sz w:val="32"/>
          <w:szCs w:val="32"/>
          <w:highlight w:val="none"/>
          <w:lang w:val="en-US" w:eastAsia="zh-CN"/>
        </w:rPr>
        <w:t>市政府成立全市电动汽车充电基础设施建设管理工作领导小组，由市政府分管领导任组长，市发展改革委、市财政局、市自然资源和规划局、市公安局、市交通运输局、市住房城乡建设局、市城市管理局、市市场监管局、市应急局、市教育体育局、市卫生健康委、市民政局、市科技局、市工业和信息化局、市文化广电和旅游局、市商务局、市国防动员办公室、市机关</w:t>
      </w:r>
      <w:r>
        <w:rPr>
          <w:rFonts w:hint="default" w:ascii="Times New Roman" w:hAnsi="Times New Roman" w:eastAsia="仿宋_GB2312" w:cs="Times New Roman"/>
          <w:color w:val="auto"/>
          <w:sz w:val="32"/>
          <w:szCs w:val="32"/>
          <w:highlight w:val="none"/>
          <w:lang w:val="en" w:eastAsia="zh-CN"/>
        </w:rPr>
        <w:t>事务</w:t>
      </w:r>
      <w:r>
        <w:rPr>
          <w:rFonts w:hint="eastAsia" w:ascii="Times New Roman" w:hAnsi="Times New Roman" w:eastAsia="仿宋_GB2312" w:cs="Times New Roman"/>
          <w:color w:val="auto"/>
          <w:sz w:val="32"/>
          <w:szCs w:val="32"/>
          <w:highlight w:val="none"/>
          <w:lang w:val="en-US" w:eastAsia="zh-CN"/>
        </w:rPr>
        <w:t>中心、市司法局、市审计局、市税务局、市港航管理局、市行政审批政务信息管理局、</w:t>
      </w:r>
      <w:r>
        <w:rPr>
          <w:rFonts w:hint="eastAsia" w:ascii="方正仿宋_GBK" w:hAnsi="方正仿宋_GBK" w:eastAsia="方正仿宋_GBK" w:cs="方正仿宋_GBK"/>
          <w:bCs/>
          <w:snapToGrid w:val="0"/>
          <w:color w:val="auto"/>
          <w:spacing w:val="-4"/>
          <w:sz w:val="32"/>
          <w:szCs w:val="32"/>
          <w:highlight w:val="none"/>
          <w:lang w:eastAsia="zh-CN"/>
        </w:rPr>
        <w:t>周口银保监分局、市金融工作局、周口</w:t>
      </w:r>
      <w:r>
        <w:rPr>
          <w:rFonts w:hint="eastAsia" w:ascii="Times New Roman" w:hAnsi="Times New Roman" w:eastAsia="仿宋_GB2312" w:cs="Times New Roman"/>
          <w:color w:val="auto"/>
          <w:sz w:val="32"/>
          <w:szCs w:val="32"/>
          <w:highlight w:val="none"/>
          <w:lang w:val="en-US" w:eastAsia="zh-CN"/>
        </w:rPr>
        <w:t>供电公司、市投资集团等单位分管领导为成员。</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firstLine="640" w:firstLineChars="200"/>
        <w:jc w:val="both"/>
        <w:textAlignment w:val="auto"/>
        <w:rPr>
          <w:rFonts w:hint="eastAsia"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领导小组办公室设在市住房城乡建设局，负责领导小组日常工作。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firstLine="640"/>
        <w:jc w:val="both"/>
        <w:textAlignment w:val="auto"/>
        <w:rPr>
          <w:rFonts w:hint="eastAsia"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各区政府（管委会）、各县（市）人民政府要切实承担起统筹推进充电基础设施建设管理的主体责任，加强领导，建立相应的推进工作体系，完善支持政策，加快推进电动汽车充电基础设施建设发展。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firstLine="640"/>
        <w:jc w:val="both"/>
        <w:textAlignment w:val="auto"/>
        <w:rPr>
          <w:rFonts w:hint="eastAsia" w:ascii="方正楷体_GBK" w:hAnsi="方正楷体_GBK" w:eastAsia="方正楷体_GBK" w:cs="方正楷体_GBK"/>
          <w:bCs/>
          <w:snapToGrid w:val="0"/>
          <w:color w:val="auto"/>
          <w:spacing w:val="-4"/>
          <w:sz w:val="32"/>
          <w:szCs w:val="32"/>
          <w:highlight w:val="none"/>
          <w:lang w:val="en-US" w:eastAsia="zh-CN"/>
        </w:rPr>
      </w:pPr>
      <w:r>
        <w:rPr>
          <w:rFonts w:hint="eastAsia" w:ascii="楷体_GB2312" w:hAnsi="楷体_GB2312" w:eastAsia="楷体_GB2312" w:cs="楷体_GB2312"/>
          <w:bCs/>
          <w:snapToGrid w:val="0"/>
          <w:color w:val="auto"/>
          <w:spacing w:val="-4"/>
          <w:sz w:val="32"/>
          <w:szCs w:val="32"/>
          <w:highlight w:val="none"/>
          <w:lang w:val="en-US" w:eastAsia="zh-CN"/>
        </w:rPr>
        <w:t>（二）制定充电基础设施专项规划</w:t>
      </w:r>
    </w:p>
    <w:p>
      <w:pPr>
        <w:keepNext w:val="0"/>
        <w:keepLines w:val="0"/>
        <w:pageBreakBefore w:val="0"/>
        <w:widowControl/>
        <w:suppressLineNumbers w:val="0"/>
        <w:kinsoku/>
        <w:wordWrap/>
        <w:overflowPunct/>
        <w:topLinePunct w:val="0"/>
        <w:autoSpaceDE/>
        <w:autoSpaceDN/>
        <w:bidi w:val="0"/>
        <w:adjustRightInd/>
        <w:snapToGrid/>
        <w:jc w:val="both"/>
        <w:textAlignment w:val="auto"/>
        <w:rPr>
          <w:rFonts w:hint="eastAsia" w:ascii="楷体_GB2312" w:hAnsi="楷体_GB2312" w:eastAsia="楷体_GB2312" w:cs="楷体_GB2312"/>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编制周口市中心城区电动汽车充电基础设施建设专项规划，明确各类充电设施的发展目标、建设安排。专项规划有关内容应符合国土空间规划、城市综合交通体系规划、配电网建设改造等规划，形成完整的充电基础设施发展规划体系。</w:t>
      </w:r>
      <w:r>
        <w:rPr>
          <w:rFonts w:hint="eastAsia" w:ascii="楷体_GB2312" w:hAnsi="楷体_GB2312" w:eastAsia="楷体_GB2312" w:cs="楷体_GB2312"/>
          <w:color w:val="auto"/>
          <w:sz w:val="32"/>
          <w:szCs w:val="32"/>
          <w:highlight w:val="none"/>
          <w:lang w:val="en-US" w:eastAsia="zh-CN"/>
        </w:rPr>
        <w:t>（责任单位：市投资集团、市发展改革委、市自然资源和规划局、市交通运输局、市住房城乡建设局、市公安局、市城市管理局、市机关</w:t>
      </w:r>
      <w:r>
        <w:rPr>
          <w:rFonts w:hint="eastAsia" w:ascii="楷体_GB2312" w:hAnsi="楷体_GB2312" w:eastAsia="楷体_GB2312" w:cs="楷体_GB2312"/>
          <w:color w:val="auto"/>
          <w:sz w:val="32"/>
          <w:szCs w:val="32"/>
          <w:highlight w:val="none"/>
          <w:lang w:val="en" w:eastAsia="zh-CN"/>
        </w:rPr>
        <w:t>事务</w:t>
      </w:r>
      <w:r>
        <w:rPr>
          <w:rFonts w:hint="eastAsia" w:ascii="楷体_GB2312" w:hAnsi="楷体_GB2312" w:eastAsia="楷体_GB2312" w:cs="楷体_GB2312"/>
          <w:color w:val="auto"/>
          <w:sz w:val="32"/>
          <w:szCs w:val="32"/>
          <w:highlight w:val="none"/>
          <w:lang w:val="en-US" w:eastAsia="zh-CN"/>
        </w:rPr>
        <w:t>中心、周口供电公司、各区政府（管委会）、各县（市）人民政府）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firstLine="640"/>
        <w:jc w:val="both"/>
        <w:textAlignment w:val="auto"/>
        <w:rPr>
          <w:rFonts w:hint="eastAsia" w:ascii="楷体_GB2312" w:hAnsi="楷体_GB2312" w:eastAsia="楷体_GB2312" w:cs="楷体_GB2312"/>
          <w:bCs/>
          <w:snapToGrid w:val="0"/>
          <w:color w:val="auto"/>
          <w:spacing w:val="-4"/>
          <w:sz w:val="32"/>
          <w:szCs w:val="32"/>
          <w:highlight w:val="none"/>
          <w:lang w:val="en-US" w:eastAsia="zh-CN"/>
        </w:rPr>
      </w:pPr>
      <w:r>
        <w:rPr>
          <w:rFonts w:hint="eastAsia" w:ascii="楷体_GB2312" w:hAnsi="楷体_GB2312" w:eastAsia="楷体_GB2312" w:cs="楷体_GB2312"/>
          <w:bCs/>
          <w:snapToGrid w:val="0"/>
          <w:color w:val="auto"/>
          <w:spacing w:val="-4"/>
          <w:sz w:val="32"/>
          <w:szCs w:val="32"/>
          <w:highlight w:val="none"/>
          <w:lang w:val="en-US" w:eastAsia="zh-CN"/>
        </w:rPr>
        <w:t>（三）营造舆论环境</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firstLine="640"/>
        <w:jc w:val="both"/>
        <w:textAlignment w:val="auto"/>
        <w:rPr>
          <w:rFonts w:hint="eastAsia" w:ascii="CESI仿宋-GB2312" w:hAnsi="CESI仿宋-GB2312" w:eastAsia="CESI仿宋-GB2312" w:cs="CESI仿宋-GB2312"/>
          <w:bCs/>
          <w:snapToGrid w:val="0"/>
          <w:color w:val="auto"/>
          <w:spacing w:val="-4"/>
          <w:sz w:val="32"/>
          <w:szCs w:val="32"/>
          <w:highlight w:val="none"/>
        </w:rPr>
      </w:pPr>
      <w:r>
        <w:rPr>
          <w:rFonts w:hint="default" w:ascii="Times New Roman" w:hAnsi="Times New Roman" w:eastAsia="仿宋_GB2312" w:cs="Times New Roman"/>
          <w:bCs/>
          <w:snapToGrid w:val="0"/>
          <w:color w:val="auto"/>
          <w:spacing w:val="-4"/>
          <w:sz w:val="32"/>
          <w:szCs w:val="32"/>
          <w:highlight w:val="none"/>
        </w:rPr>
        <w:t>各地各部门、企业和新闻媒体要通过多种形式加强充电基础设施发展政策、建设进程等宣传</w:t>
      </w:r>
      <w:r>
        <w:rPr>
          <w:rFonts w:hint="eastAsia" w:ascii="Times New Roman" w:hAnsi="Times New Roman" w:eastAsia="仿宋_GB2312" w:cs="Times New Roman"/>
          <w:bCs/>
          <w:snapToGrid w:val="0"/>
          <w:color w:val="auto"/>
          <w:spacing w:val="-4"/>
          <w:sz w:val="32"/>
          <w:szCs w:val="32"/>
          <w:highlight w:val="none"/>
          <w:lang w:eastAsia="zh-CN"/>
        </w:rPr>
        <w:t>力度</w:t>
      </w:r>
      <w:r>
        <w:rPr>
          <w:rFonts w:hint="default" w:ascii="Times New Roman" w:hAnsi="Times New Roman" w:eastAsia="仿宋_GB2312" w:cs="Times New Roman"/>
          <w:bCs/>
          <w:snapToGrid w:val="0"/>
          <w:color w:val="auto"/>
          <w:spacing w:val="-4"/>
          <w:sz w:val="32"/>
          <w:szCs w:val="32"/>
          <w:highlight w:val="none"/>
        </w:rPr>
        <w:t>，让社会各界充分了解和安全使用充电基础设施，切实提升</w:t>
      </w:r>
      <w:r>
        <w:rPr>
          <w:rFonts w:hint="default" w:ascii="Times New Roman" w:hAnsi="Times New Roman" w:eastAsia="仿宋_GB2312" w:cs="Times New Roman"/>
          <w:bCs/>
          <w:snapToGrid w:val="0"/>
          <w:color w:val="auto"/>
          <w:spacing w:val="-4"/>
          <w:sz w:val="32"/>
          <w:szCs w:val="32"/>
          <w:highlight w:val="none"/>
          <w:lang w:eastAsia="zh-CN"/>
        </w:rPr>
        <w:t>群众</w:t>
      </w:r>
      <w:r>
        <w:rPr>
          <w:rFonts w:hint="default" w:ascii="Times New Roman" w:hAnsi="Times New Roman" w:eastAsia="仿宋_GB2312" w:cs="Times New Roman"/>
          <w:bCs/>
          <w:snapToGrid w:val="0"/>
          <w:color w:val="auto"/>
          <w:spacing w:val="-4"/>
          <w:sz w:val="32"/>
          <w:szCs w:val="32"/>
          <w:highlight w:val="none"/>
        </w:rPr>
        <w:t>对电动汽车发展、充电基础设施建设的认可度和支持度。要加强舆论监督，曝光恶意阻碍充电基础设施建设、损害消费者权益等行为，形成有利于充电基础设施</w:t>
      </w:r>
      <w:r>
        <w:rPr>
          <w:rFonts w:hint="eastAsia" w:ascii="Times New Roman" w:hAnsi="Times New Roman" w:eastAsia="仿宋_GB2312" w:cs="Times New Roman"/>
          <w:bCs/>
          <w:snapToGrid w:val="0"/>
          <w:color w:val="auto"/>
          <w:spacing w:val="-4"/>
          <w:sz w:val="32"/>
          <w:szCs w:val="32"/>
          <w:highlight w:val="none"/>
          <w:lang w:eastAsia="zh-CN"/>
        </w:rPr>
        <w:t>建设</w:t>
      </w:r>
      <w:r>
        <w:rPr>
          <w:rFonts w:hint="default" w:ascii="Times New Roman" w:hAnsi="Times New Roman" w:eastAsia="仿宋_GB2312" w:cs="Times New Roman"/>
          <w:bCs/>
          <w:snapToGrid w:val="0"/>
          <w:color w:val="auto"/>
          <w:spacing w:val="-4"/>
          <w:sz w:val="32"/>
          <w:szCs w:val="32"/>
          <w:highlight w:val="none"/>
        </w:rPr>
        <w:t>发展的</w:t>
      </w:r>
      <w:r>
        <w:rPr>
          <w:rFonts w:hint="eastAsia" w:ascii="Times New Roman" w:hAnsi="Times New Roman" w:eastAsia="仿宋_GB2312" w:cs="Times New Roman"/>
          <w:bCs/>
          <w:snapToGrid w:val="0"/>
          <w:color w:val="auto"/>
          <w:spacing w:val="-4"/>
          <w:sz w:val="32"/>
          <w:szCs w:val="32"/>
          <w:highlight w:val="none"/>
          <w:lang w:eastAsia="zh-CN"/>
        </w:rPr>
        <w:t>良好</w:t>
      </w:r>
      <w:r>
        <w:rPr>
          <w:rFonts w:hint="default" w:ascii="Times New Roman" w:hAnsi="Times New Roman" w:eastAsia="仿宋_GB2312" w:cs="Times New Roman"/>
          <w:bCs/>
          <w:snapToGrid w:val="0"/>
          <w:color w:val="auto"/>
          <w:spacing w:val="-4"/>
          <w:sz w:val="32"/>
          <w:szCs w:val="32"/>
          <w:highlight w:val="none"/>
        </w:rPr>
        <w:t>舆论氛围。</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firstLine="640"/>
        <w:jc w:val="both"/>
        <w:textAlignment w:val="auto"/>
        <w:rPr>
          <w:rFonts w:hint="eastAsia" w:ascii="黑体" w:hAnsi="黑体" w:eastAsia="黑体" w:cs="黑体"/>
          <w:bCs/>
          <w:snapToGrid w:val="0"/>
          <w:color w:val="auto"/>
          <w:spacing w:val="-4"/>
          <w:sz w:val="32"/>
          <w:szCs w:val="32"/>
          <w:highlight w:val="none"/>
        </w:rPr>
      </w:pPr>
      <w:r>
        <w:rPr>
          <w:rFonts w:hint="eastAsia" w:ascii="黑体" w:hAnsi="黑体" w:eastAsia="黑体" w:cs="黑体"/>
          <w:bCs/>
          <w:snapToGrid w:val="0"/>
          <w:color w:val="auto"/>
          <w:spacing w:val="-4"/>
          <w:sz w:val="32"/>
          <w:szCs w:val="32"/>
          <w:highlight w:val="none"/>
          <w:lang w:val="en-US" w:eastAsia="zh-CN"/>
        </w:rPr>
        <w:t>六</w:t>
      </w:r>
      <w:r>
        <w:rPr>
          <w:rFonts w:hint="eastAsia" w:ascii="黑体" w:hAnsi="黑体" w:eastAsia="黑体" w:cs="黑体"/>
          <w:bCs/>
          <w:snapToGrid w:val="0"/>
          <w:color w:val="auto"/>
          <w:spacing w:val="-4"/>
          <w:sz w:val="32"/>
          <w:szCs w:val="32"/>
          <w:highlight w:val="none"/>
        </w:rPr>
        <w:t>、其它</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firstLine="64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（一）本实施方案所称的充电基础设施是指充电站、换电站、充电桩及接入上级电源的相关设施，包括自用充电基础设施、专用充电基础设施和公用充电基础设施。</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firstLine="64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（二）本实施方案自印发之日起施行。各县（市、区）可根据本辖区的实际情况，参照本实施方案，研究制定本地电动汽车充电基础设施实施推进方案。</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firstLine="640"/>
        <w:jc w:val="both"/>
        <w:textAlignment w:val="auto"/>
        <w:rPr>
          <w:rFonts w:hint="default" w:ascii="Times New Roman" w:hAnsi="Times New Roman" w:eastAsia="仿宋_GB2312" w:cs="Times New Roman"/>
          <w:color w:val="auto"/>
          <w:sz w:val="32"/>
          <w:szCs w:val="32"/>
          <w:highlight w:val="none"/>
          <w:lang w:val="en-US" w:eastAsia="zh-CN"/>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firstLine="64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附件：周口市有关部门职责分工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napToGrid/>
        <w:spacing w:beforeAutospacing="0" w:afterAutospacing="0" w:line="560" w:lineRule="exact"/>
        <w:ind w:left="0" w:right="0" w:firstLine="640"/>
        <w:jc w:val="left"/>
        <w:textAlignment w:val="auto"/>
        <w:rPr>
          <w:rFonts w:hint="eastAsia" w:ascii="CESI仿宋-GB2312" w:hAnsi="CESI仿宋-GB2312" w:eastAsia="CESI仿宋-GB2312" w:cs="CESI仿宋-GB2312"/>
          <w:bCs/>
          <w:snapToGrid w:val="0"/>
          <w:color w:val="auto"/>
          <w:spacing w:val="-4"/>
          <w:sz w:val="32"/>
          <w:szCs w:val="32"/>
          <w:highlight w:val="none"/>
          <w:lang w:eastAsia="zh-CN"/>
        </w:rPr>
      </w:pPr>
    </w:p>
    <w:p>
      <w:pPr>
        <w:keepNext w:val="0"/>
        <w:keepLines w:val="0"/>
        <w:pageBreakBefore w:val="0"/>
        <w:kinsoku/>
        <w:wordWrap/>
        <w:overflowPunct/>
        <w:topLinePunct w:val="0"/>
        <w:bidi w:val="0"/>
        <w:snapToGrid/>
        <w:spacing w:line="560" w:lineRule="exact"/>
        <w:textAlignment w:val="auto"/>
        <w:rPr>
          <w:rFonts w:hint="eastAsia" w:ascii="CESI仿宋-GB2312" w:hAnsi="CESI仿宋-GB2312" w:eastAsia="CESI仿宋-GB2312" w:cs="CESI仿宋-GB2312"/>
          <w:bCs/>
          <w:snapToGrid w:val="0"/>
          <w:color w:val="auto"/>
          <w:spacing w:val="-4"/>
          <w:sz w:val="32"/>
          <w:szCs w:val="32"/>
          <w:highlight w:val="none"/>
          <w:lang w:eastAsia="zh-CN"/>
        </w:rPr>
      </w:pPr>
    </w:p>
    <w:p>
      <w:pPr>
        <w:keepNext w:val="0"/>
        <w:keepLines w:val="0"/>
        <w:pageBreakBefore w:val="0"/>
        <w:kinsoku/>
        <w:wordWrap/>
        <w:overflowPunct/>
        <w:bidi w:val="0"/>
        <w:snapToGrid/>
        <w:ind w:left="0" w:leftChars="0" w:firstLine="0" w:firstLineChars="0"/>
        <w:jc w:val="both"/>
        <w:textAlignment w:val="auto"/>
        <w:rPr>
          <w:rFonts w:hint="eastAsia" w:ascii="方正小标宋简体" w:hAnsi="方正小标宋简体" w:eastAsia="方正小标宋简体" w:cs="方正小标宋简体"/>
          <w:bCs/>
          <w:snapToGrid w:val="0"/>
          <w:color w:val="auto"/>
          <w:spacing w:val="-4"/>
          <w:sz w:val="44"/>
          <w:szCs w:val="44"/>
          <w:highlight w:val="none"/>
          <w:lang w:val="en-US" w:eastAsia="zh-CN"/>
        </w:rPr>
      </w:pPr>
    </w:p>
    <w:p>
      <w:pPr>
        <w:keepNext w:val="0"/>
        <w:keepLines w:val="0"/>
        <w:pageBreakBefore w:val="0"/>
        <w:kinsoku/>
        <w:wordWrap/>
        <w:overflowPunct/>
        <w:bidi w:val="0"/>
        <w:snapToGrid/>
        <w:ind w:left="0" w:leftChars="0" w:firstLine="0" w:firstLineChars="0"/>
        <w:textAlignment w:val="auto"/>
        <w:rPr>
          <w:rFonts w:hint="eastAsia" w:ascii="仿宋_GB2312" w:eastAsia="仿宋_GB2312"/>
          <w:bCs/>
          <w:snapToGrid w:val="0"/>
          <w:color w:val="auto"/>
          <w:spacing w:val="-4"/>
          <w:sz w:val="32"/>
          <w:szCs w:val="32"/>
          <w:highlight w:val="none"/>
          <w:lang w:val="en-US" w:eastAsia="zh-CN"/>
        </w:rPr>
      </w:pPr>
    </w:p>
    <w:p>
      <w:pPr>
        <w:keepNext w:val="0"/>
        <w:keepLines w:val="0"/>
        <w:pageBreakBefore w:val="0"/>
        <w:kinsoku/>
        <w:wordWrap/>
        <w:overflowPunct/>
        <w:bidi w:val="0"/>
        <w:snapToGrid/>
        <w:ind w:left="0" w:leftChars="0" w:firstLine="0" w:firstLineChars="0"/>
        <w:textAlignment w:val="auto"/>
        <w:rPr>
          <w:rFonts w:hint="eastAsia" w:ascii="仿宋_GB2312" w:eastAsia="仿宋_GB2312"/>
          <w:bCs/>
          <w:snapToGrid w:val="0"/>
          <w:color w:val="auto"/>
          <w:spacing w:val="-4"/>
          <w:sz w:val="32"/>
          <w:szCs w:val="32"/>
          <w:highlight w:val="none"/>
          <w:lang w:val="en-US" w:eastAsia="zh-CN"/>
        </w:rPr>
      </w:pPr>
    </w:p>
    <w:p>
      <w:pPr>
        <w:bidi w:val="0"/>
        <w:ind w:left="0" w:leftChars="0" w:firstLine="0" w:firstLineChars="0"/>
        <w:rPr>
          <w:rFonts w:hint="eastAsia" w:ascii="仿宋_GB2312" w:eastAsia="仿宋_GB2312"/>
          <w:bCs/>
          <w:snapToGrid w:val="0"/>
          <w:color w:val="auto"/>
          <w:spacing w:val="-4"/>
          <w:sz w:val="32"/>
          <w:szCs w:val="32"/>
          <w:highlight w:val="none"/>
          <w:lang w:val="en-US" w:eastAsia="zh-CN"/>
        </w:rPr>
      </w:pPr>
    </w:p>
    <w:p>
      <w:pPr>
        <w:bidi w:val="0"/>
        <w:ind w:left="0" w:leftChars="0" w:firstLine="0" w:firstLineChars="0"/>
        <w:rPr>
          <w:rFonts w:hint="eastAsia" w:ascii="仿宋_GB2312" w:eastAsia="仿宋_GB2312"/>
          <w:bCs/>
          <w:snapToGrid w:val="0"/>
          <w:color w:val="auto"/>
          <w:spacing w:val="-4"/>
          <w:sz w:val="32"/>
          <w:szCs w:val="32"/>
          <w:highlight w:val="none"/>
          <w:lang w:val="en-US" w:eastAsia="zh-CN"/>
        </w:rPr>
      </w:pPr>
    </w:p>
    <w:p>
      <w:pPr>
        <w:bidi w:val="0"/>
        <w:ind w:left="0" w:leftChars="0" w:firstLine="0" w:firstLineChars="0"/>
        <w:rPr>
          <w:rFonts w:hint="eastAsia" w:ascii="黑体" w:hAnsi="黑体" w:eastAsia="黑体" w:cs="黑体"/>
          <w:bCs/>
          <w:snapToGrid w:val="0"/>
          <w:color w:val="auto"/>
          <w:spacing w:val="-4"/>
          <w:sz w:val="32"/>
          <w:szCs w:val="32"/>
          <w:highlight w:val="none"/>
          <w:lang w:val="en-US" w:eastAsia="zh-CN"/>
        </w:rPr>
      </w:pPr>
    </w:p>
    <w:p>
      <w:pPr>
        <w:bidi w:val="0"/>
        <w:ind w:left="0" w:leftChars="0" w:firstLine="0" w:firstLineChars="0"/>
        <w:rPr>
          <w:rFonts w:hint="eastAsia" w:ascii="黑体" w:hAnsi="黑体" w:eastAsia="黑体" w:cs="黑体"/>
          <w:bCs/>
          <w:snapToGrid w:val="0"/>
          <w:color w:val="auto"/>
          <w:spacing w:val="-4"/>
          <w:sz w:val="32"/>
          <w:szCs w:val="32"/>
          <w:highlight w:val="none"/>
          <w:lang w:val="en-US" w:eastAsia="zh-CN"/>
        </w:rPr>
      </w:pPr>
    </w:p>
    <w:p>
      <w:pPr>
        <w:bidi w:val="0"/>
        <w:ind w:left="0" w:leftChars="0" w:firstLine="0" w:firstLineChars="0"/>
        <w:rPr>
          <w:rFonts w:hint="eastAsia" w:ascii="黑体" w:hAnsi="黑体" w:eastAsia="黑体" w:cs="黑体"/>
          <w:bCs/>
          <w:snapToGrid w:val="0"/>
          <w:color w:val="auto"/>
          <w:spacing w:val="-4"/>
          <w:sz w:val="32"/>
          <w:szCs w:val="32"/>
          <w:highlight w:val="none"/>
          <w:lang w:val="en-US" w:eastAsia="zh-CN"/>
        </w:rPr>
      </w:pPr>
    </w:p>
    <w:p>
      <w:pPr>
        <w:bidi w:val="0"/>
        <w:ind w:left="0" w:leftChars="0" w:firstLine="0" w:firstLineChars="0"/>
        <w:rPr>
          <w:rFonts w:hint="eastAsia" w:ascii="黑体" w:hAnsi="黑体" w:eastAsia="黑体" w:cs="黑体"/>
          <w:bCs/>
          <w:snapToGrid w:val="0"/>
          <w:color w:val="auto"/>
          <w:spacing w:val="-4"/>
          <w:sz w:val="32"/>
          <w:szCs w:val="32"/>
          <w:highlight w:val="none"/>
          <w:lang w:val="en-US" w:eastAsia="zh-CN"/>
        </w:rPr>
      </w:pPr>
    </w:p>
    <w:p>
      <w:pPr>
        <w:bidi w:val="0"/>
        <w:ind w:left="0" w:leftChars="0" w:firstLine="0" w:firstLineChars="0"/>
        <w:rPr>
          <w:rFonts w:hint="eastAsia" w:ascii="黑体" w:hAnsi="黑体" w:eastAsia="黑体" w:cs="黑体"/>
          <w:bCs/>
          <w:snapToGrid w:val="0"/>
          <w:color w:val="auto"/>
          <w:spacing w:val="-4"/>
          <w:sz w:val="32"/>
          <w:szCs w:val="32"/>
          <w:highlight w:val="none"/>
          <w:lang w:val="en-US" w:eastAsia="zh-CN"/>
        </w:rPr>
      </w:pPr>
    </w:p>
    <w:p>
      <w:pPr>
        <w:bidi w:val="0"/>
        <w:ind w:left="0" w:leftChars="0" w:firstLine="0" w:firstLineChars="0"/>
        <w:rPr>
          <w:rFonts w:hint="eastAsia" w:ascii="黑体" w:hAnsi="黑体" w:eastAsia="黑体" w:cs="黑体"/>
          <w:bCs/>
          <w:snapToGrid w:val="0"/>
          <w:color w:val="auto"/>
          <w:spacing w:val="-4"/>
          <w:sz w:val="32"/>
          <w:szCs w:val="32"/>
          <w:highlight w:val="none"/>
          <w:lang w:val="en-US" w:eastAsia="zh-CN"/>
        </w:rPr>
      </w:pPr>
    </w:p>
    <w:p>
      <w:pPr>
        <w:bidi w:val="0"/>
        <w:ind w:left="0" w:leftChars="0" w:firstLine="0" w:firstLineChars="0"/>
        <w:rPr>
          <w:rFonts w:hint="eastAsia" w:ascii="黑体" w:hAnsi="黑体" w:eastAsia="黑体" w:cs="黑体"/>
          <w:bCs/>
          <w:snapToGrid w:val="0"/>
          <w:color w:val="auto"/>
          <w:spacing w:val="-4"/>
          <w:sz w:val="32"/>
          <w:szCs w:val="32"/>
          <w:highlight w:val="none"/>
          <w:lang w:val="en-US" w:eastAsia="zh-CN"/>
        </w:rPr>
      </w:pPr>
    </w:p>
    <w:p>
      <w:pPr>
        <w:bidi w:val="0"/>
        <w:ind w:left="0" w:leftChars="0" w:firstLine="0" w:firstLineChars="0"/>
        <w:rPr>
          <w:rFonts w:hint="eastAsia" w:ascii="黑体" w:hAnsi="黑体" w:eastAsia="黑体" w:cs="黑体"/>
          <w:bCs/>
          <w:snapToGrid w:val="0"/>
          <w:color w:val="auto"/>
          <w:spacing w:val="-4"/>
          <w:sz w:val="32"/>
          <w:szCs w:val="32"/>
          <w:highlight w:val="none"/>
          <w:lang w:val="en-US" w:eastAsia="zh-CN"/>
        </w:rPr>
      </w:pPr>
      <w:r>
        <w:rPr>
          <w:rFonts w:hint="eastAsia" w:ascii="黑体" w:hAnsi="黑体" w:eastAsia="黑体" w:cs="黑体"/>
          <w:bCs/>
          <w:snapToGrid w:val="0"/>
          <w:color w:val="auto"/>
          <w:spacing w:val="-4"/>
          <w:sz w:val="32"/>
          <w:szCs w:val="32"/>
          <w:highlight w:val="none"/>
          <w:lang w:val="en-US" w:eastAsia="zh-CN"/>
        </w:rPr>
        <w:t>附 件</w:t>
      </w:r>
    </w:p>
    <w:p>
      <w:pPr>
        <w:pStyle w:val="3"/>
        <w:keepNext/>
        <w:keepLines/>
        <w:pageBreakBefore w:val="0"/>
        <w:widowControl/>
        <w:kinsoku/>
        <w:wordWrap/>
        <w:overflowPunct/>
        <w:topLinePunct w:val="0"/>
        <w:autoSpaceDE/>
        <w:autoSpaceDN/>
        <w:bidi w:val="0"/>
        <w:adjustRightInd/>
        <w:snapToGrid/>
        <w:spacing w:line="560" w:lineRule="exact"/>
        <w:ind w:firstLine="440" w:firstLineChars="100"/>
        <w:jc w:val="center"/>
        <w:textAlignment w:val="baseline"/>
        <w:rPr>
          <w:rStyle w:val="12"/>
          <w:rFonts w:hint="eastAsia" w:asciiTheme="majorEastAsia" w:hAnsiTheme="majorEastAsia" w:eastAsiaTheme="majorEastAsia" w:cstheme="majorEastAsia"/>
          <w:b w:val="0"/>
          <w:bCs w:val="0"/>
          <w:color w:val="auto"/>
          <w:kern w:val="2"/>
          <w:sz w:val="44"/>
          <w:szCs w:val="44"/>
          <w:highlight w:val="none"/>
          <w:lang w:val="en" w:eastAsia="zh-CN" w:bidi="ar-SA"/>
        </w:rPr>
      </w:pPr>
      <w:r>
        <w:rPr>
          <w:rStyle w:val="12"/>
          <w:rFonts w:hint="eastAsia" w:ascii="方正小标宋简体" w:hAnsi="方正小标宋简体" w:eastAsia="方正小标宋简体" w:cs="方正小标宋简体"/>
          <w:b w:val="0"/>
          <w:bCs w:val="0"/>
          <w:color w:val="auto"/>
          <w:kern w:val="2"/>
          <w:sz w:val="44"/>
          <w:szCs w:val="44"/>
          <w:highlight w:val="none"/>
          <w:lang w:val="en" w:eastAsia="zh-CN" w:bidi="ar-SA"/>
        </w:rPr>
        <w:t>周口市有关部门职责分工</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4"/>
        <w:gridCol w:w="959"/>
        <w:gridCol w:w="2476"/>
        <w:gridCol w:w="1935"/>
        <w:gridCol w:w="243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9" w:hRule="atLeast"/>
        </w:trPr>
        <w:tc>
          <w:tcPr>
            <w:tcW w:w="714" w:type="dxa"/>
            <w:vAlign w:val="center"/>
          </w:tcPr>
          <w:p>
            <w:pPr>
              <w:widowControl w:val="0"/>
              <w:adjustRightInd w:val="0"/>
              <w:snapToGrid w:val="0"/>
              <w:spacing w:line="240" w:lineRule="atLeast"/>
              <w:ind w:left="0" w:leftChars="0" w:firstLine="0" w:firstLineChars="0"/>
              <w:jc w:val="center"/>
              <w:rPr>
                <w:rFonts w:hint="eastAsia" w:ascii="黑体" w:hAnsi="黑体" w:eastAsia="黑体" w:cs="黑体"/>
                <w:b w:val="0"/>
                <w:bCs w:val="0"/>
                <w:color w:val="auto"/>
                <w:spacing w:val="-4"/>
                <w:kern w:val="0"/>
                <w:sz w:val="24"/>
                <w:szCs w:val="24"/>
                <w:highlight w:val="none"/>
                <w:lang w:val="en" w:eastAsia="zh-CN"/>
              </w:rPr>
            </w:pPr>
            <w:r>
              <w:rPr>
                <w:rFonts w:hint="eastAsia" w:ascii="黑体" w:hAnsi="黑体" w:eastAsia="黑体" w:cs="黑体"/>
                <w:b w:val="0"/>
                <w:bCs w:val="0"/>
                <w:color w:val="auto"/>
                <w:spacing w:val="-4"/>
                <w:kern w:val="0"/>
                <w:sz w:val="24"/>
                <w:szCs w:val="24"/>
                <w:highlight w:val="none"/>
                <w:lang w:val="en" w:eastAsia="zh-CN"/>
              </w:rPr>
              <w:t>序号</w:t>
            </w:r>
          </w:p>
        </w:tc>
        <w:tc>
          <w:tcPr>
            <w:tcW w:w="3435" w:type="dxa"/>
            <w:gridSpan w:val="2"/>
            <w:vAlign w:val="center"/>
          </w:tcPr>
          <w:p>
            <w:pPr>
              <w:widowControl w:val="0"/>
              <w:adjustRightInd w:val="0"/>
              <w:snapToGrid w:val="0"/>
              <w:spacing w:line="240" w:lineRule="atLeast"/>
              <w:ind w:left="0" w:leftChars="0" w:firstLine="0" w:firstLineChars="0"/>
              <w:jc w:val="center"/>
              <w:rPr>
                <w:rFonts w:hint="eastAsia" w:ascii="黑体" w:hAnsi="黑体" w:eastAsia="黑体" w:cs="黑体"/>
                <w:b w:val="0"/>
                <w:bCs w:val="0"/>
                <w:color w:val="auto"/>
                <w:spacing w:val="-4"/>
                <w:kern w:val="0"/>
                <w:sz w:val="24"/>
                <w:szCs w:val="24"/>
                <w:highlight w:val="none"/>
                <w:lang w:val="en" w:eastAsia="zh-CN"/>
              </w:rPr>
            </w:pPr>
            <w:r>
              <w:rPr>
                <w:rFonts w:hint="eastAsia" w:ascii="黑体" w:hAnsi="黑体" w:eastAsia="黑体" w:cs="黑体"/>
                <w:b w:val="0"/>
                <w:bCs w:val="0"/>
                <w:color w:val="auto"/>
                <w:spacing w:val="-4"/>
                <w:kern w:val="0"/>
                <w:sz w:val="24"/>
                <w:szCs w:val="24"/>
                <w:highlight w:val="none"/>
                <w:lang w:val="en" w:eastAsia="zh-CN"/>
              </w:rPr>
              <w:t>工作任务</w:t>
            </w:r>
          </w:p>
        </w:tc>
        <w:tc>
          <w:tcPr>
            <w:tcW w:w="1935" w:type="dxa"/>
            <w:vAlign w:val="center"/>
          </w:tcPr>
          <w:p>
            <w:pPr>
              <w:widowControl w:val="0"/>
              <w:adjustRightInd w:val="0"/>
              <w:snapToGrid w:val="0"/>
              <w:spacing w:line="240" w:lineRule="atLeast"/>
              <w:ind w:left="0" w:leftChars="0" w:firstLine="0" w:firstLineChars="0"/>
              <w:jc w:val="center"/>
              <w:rPr>
                <w:rFonts w:hint="eastAsia" w:ascii="黑体" w:hAnsi="黑体" w:eastAsia="黑体" w:cs="黑体"/>
                <w:b w:val="0"/>
                <w:bCs w:val="0"/>
                <w:color w:val="auto"/>
                <w:spacing w:val="-4"/>
                <w:kern w:val="0"/>
                <w:sz w:val="24"/>
                <w:szCs w:val="24"/>
                <w:highlight w:val="none"/>
                <w:lang w:val="en" w:eastAsia="zh-CN"/>
              </w:rPr>
            </w:pPr>
            <w:r>
              <w:rPr>
                <w:rFonts w:hint="eastAsia" w:ascii="黑体" w:hAnsi="黑体" w:eastAsia="黑体" w:cs="黑体"/>
                <w:b w:val="0"/>
                <w:bCs w:val="0"/>
                <w:color w:val="auto"/>
                <w:spacing w:val="-4"/>
                <w:kern w:val="0"/>
                <w:sz w:val="24"/>
                <w:szCs w:val="24"/>
                <w:highlight w:val="none"/>
                <w:lang w:val="en" w:eastAsia="zh-CN"/>
              </w:rPr>
              <w:t>牵头单位</w:t>
            </w:r>
          </w:p>
        </w:tc>
        <w:tc>
          <w:tcPr>
            <w:tcW w:w="2438" w:type="dxa"/>
            <w:vAlign w:val="center"/>
          </w:tcPr>
          <w:p>
            <w:pPr>
              <w:widowControl w:val="0"/>
              <w:adjustRightInd w:val="0"/>
              <w:snapToGrid w:val="0"/>
              <w:spacing w:line="240" w:lineRule="atLeast"/>
              <w:ind w:left="0" w:leftChars="0" w:firstLine="0" w:firstLineChars="0"/>
              <w:jc w:val="center"/>
              <w:rPr>
                <w:rFonts w:hint="eastAsia" w:ascii="黑体" w:hAnsi="黑体" w:eastAsia="黑体" w:cs="黑体"/>
                <w:b w:val="0"/>
                <w:bCs w:val="0"/>
                <w:color w:val="auto"/>
                <w:spacing w:val="-4"/>
                <w:kern w:val="0"/>
                <w:sz w:val="24"/>
                <w:szCs w:val="24"/>
                <w:highlight w:val="none"/>
                <w:lang w:val="en" w:eastAsia="zh-CN"/>
              </w:rPr>
            </w:pPr>
            <w:r>
              <w:rPr>
                <w:rFonts w:hint="eastAsia" w:ascii="黑体" w:hAnsi="黑体" w:eastAsia="黑体" w:cs="黑体"/>
                <w:b w:val="0"/>
                <w:bCs w:val="0"/>
                <w:color w:val="auto"/>
                <w:spacing w:val="-4"/>
                <w:kern w:val="0"/>
                <w:sz w:val="24"/>
                <w:szCs w:val="24"/>
                <w:highlight w:val="none"/>
                <w:lang w:val="en" w:eastAsia="zh-CN"/>
              </w:rPr>
              <w:t>配合单位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4" w:type="dxa"/>
            <w:vAlign w:val="center"/>
          </w:tcPr>
          <w:p>
            <w:pPr>
              <w:widowControl w:val="0"/>
              <w:adjustRightInd w:val="0"/>
              <w:snapToGrid w:val="0"/>
              <w:spacing w:line="240" w:lineRule="atLeast"/>
              <w:ind w:left="0" w:leftChars="0" w:firstLine="0" w:firstLineChars="0"/>
              <w:jc w:val="center"/>
              <w:rPr>
                <w:rFonts w:hint="eastAsia" w:asciiTheme="majorEastAsia" w:hAnsiTheme="majorEastAsia" w:eastAsiaTheme="majorEastAsia" w:cstheme="majorEastAsia"/>
                <w:color w:val="auto"/>
                <w:spacing w:val="-4"/>
                <w:kern w:val="0"/>
                <w:sz w:val="22"/>
                <w:szCs w:val="18"/>
                <w:highlight w:val="none"/>
                <w:lang w:val="en-US" w:eastAsia="zh-CN"/>
              </w:rPr>
            </w:pPr>
            <w:r>
              <w:rPr>
                <w:rFonts w:hint="eastAsia" w:asciiTheme="majorEastAsia" w:hAnsiTheme="majorEastAsia" w:eastAsiaTheme="majorEastAsia" w:cstheme="majorEastAsia"/>
                <w:color w:val="auto"/>
                <w:spacing w:val="-4"/>
                <w:kern w:val="0"/>
                <w:sz w:val="22"/>
                <w:szCs w:val="18"/>
                <w:highlight w:val="none"/>
                <w:lang w:val="en-US" w:eastAsia="zh-CN"/>
              </w:rPr>
              <w:t>1</w:t>
            </w:r>
          </w:p>
        </w:tc>
        <w:tc>
          <w:tcPr>
            <w:tcW w:w="3435" w:type="dxa"/>
            <w:gridSpan w:val="2"/>
            <w:vAlign w:val="center"/>
          </w:tcPr>
          <w:p>
            <w:pPr>
              <w:widowControl w:val="0"/>
              <w:adjustRightInd w:val="0"/>
              <w:snapToGrid w:val="0"/>
              <w:spacing w:line="240" w:lineRule="atLeast"/>
              <w:ind w:left="0" w:leftChars="0" w:firstLine="0" w:firstLineChars="0"/>
              <w:jc w:val="left"/>
              <w:rPr>
                <w:rFonts w:hint="default" w:ascii="Times New Roman" w:hAnsi="Times New Roman" w:eastAsia="仿宋_GB2312" w:cs="Times New Roman"/>
                <w:color w:val="auto"/>
                <w:spacing w:val="-4"/>
                <w:kern w:val="0"/>
                <w:sz w:val="22"/>
                <w:szCs w:val="18"/>
                <w:highlight w:val="none"/>
                <w:lang w:val="en" w:eastAsia="zh-CN"/>
              </w:rPr>
            </w:pPr>
            <w:r>
              <w:rPr>
                <w:rFonts w:hint="default" w:ascii="Times New Roman" w:hAnsi="Times New Roman" w:eastAsia="仿宋_GB2312" w:cs="Times New Roman"/>
                <w:color w:val="auto"/>
                <w:spacing w:val="-4"/>
                <w:kern w:val="0"/>
                <w:sz w:val="22"/>
                <w:szCs w:val="18"/>
                <w:highlight w:val="none"/>
              </w:rPr>
              <w:t>编制</w:t>
            </w:r>
            <w:r>
              <w:rPr>
                <w:rFonts w:hint="default" w:ascii="Times New Roman" w:hAnsi="Times New Roman" w:eastAsia="仿宋_GB2312" w:cs="Times New Roman"/>
                <w:color w:val="auto"/>
                <w:spacing w:val="-4"/>
                <w:kern w:val="0"/>
                <w:sz w:val="22"/>
                <w:szCs w:val="18"/>
                <w:highlight w:val="none"/>
                <w:lang w:eastAsia="zh-CN"/>
              </w:rPr>
              <w:t>周口市中心城区</w:t>
            </w:r>
            <w:r>
              <w:rPr>
                <w:rFonts w:hint="default" w:ascii="Times New Roman" w:hAnsi="Times New Roman" w:eastAsia="仿宋_GB2312" w:cs="Times New Roman"/>
                <w:color w:val="auto"/>
                <w:spacing w:val="-4"/>
                <w:kern w:val="0"/>
                <w:sz w:val="22"/>
                <w:szCs w:val="18"/>
                <w:highlight w:val="none"/>
              </w:rPr>
              <w:t>电动汽车充电基础设施专项规划</w:t>
            </w:r>
            <w:r>
              <w:rPr>
                <w:rFonts w:hint="default" w:ascii="Times New Roman" w:hAnsi="Times New Roman" w:eastAsia="仿宋_GB2312" w:cs="Times New Roman"/>
                <w:color w:val="auto"/>
                <w:spacing w:val="-4"/>
                <w:kern w:val="0"/>
                <w:sz w:val="22"/>
                <w:szCs w:val="18"/>
                <w:highlight w:val="none"/>
                <w:lang w:eastAsia="zh-CN"/>
              </w:rPr>
              <w:t>。</w:t>
            </w:r>
          </w:p>
        </w:tc>
        <w:tc>
          <w:tcPr>
            <w:tcW w:w="1935" w:type="dxa"/>
            <w:vAlign w:val="center"/>
          </w:tcPr>
          <w:p>
            <w:pPr>
              <w:widowControl w:val="0"/>
              <w:adjustRightInd w:val="0"/>
              <w:snapToGrid w:val="0"/>
              <w:spacing w:line="240" w:lineRule="atLeast"/>
              <w:ind w:left="0" w:leftChars="0" w:firstLine="0" w:firstLineChars="0"/>
              <w:jc w:val="center"/>
              <w:rPr>
                <w:rFonts w:hint="default" w:ascii="Times New Roman" w:hAnsi="Times New Roman" w:eastAsia="仿宋_GB2312" w:cs="Times New Roman"/>
                <w:color w:val="auto"/>
                <w:spacing w:val="-4"/>
                <w:kern w:val="0"/>
                <w:sz w:val="22"/>
                <w:szCs w:val="18"/>
                <w:highlight w:val="none"/>
                <w:lang w:val="en-US" w:eastAsia="zh-CN"/>
              </w:rPr>
            </w:pPr>
            <w:r>
              <w:rPr>
                <w:rFonts w:hint="default" w:ascii="Times New Roman" w:hAnsi="Times New Roman" w:eastAsia="仿宋_GB2312" w:cs="Times New Roman"/>
                <w:color w:val="auto"/>
                <w:spacing w:val="-4"/>
                <w:kern w:val="0"/>
                <w:sz w:val="22"/>
                <w:szCs w:val="18"/>
                <w:highlight w:val="none"/>
                <w:lang w:val="en-US" w:eastAsia="zh-CN"/>
              </w:rPr>
              <w:t>市发展改革委</w:t>
            </w:r>
          </w:p>
          <w:p>
            <w:pPr>
              <w:widowControl w:val="0"/>
              <w:adjustRightInd w:val="0"/>
              <w:snapToGrid w:val="0"/>
              <w:spacing w:line="240" w:lineRule="atLeast"/>
              <w:ind w:left="0" w:leftChars="0" w:firstLine="0" w:firstLineChars="0"/>
              <w:jc w:val="center"/>
              <w:rPr>
                <w:rFonts w:hint="default" w:ascii="Times New Roman" w:hAnsi="Times New Roman" w:eastAsia="仿宋_GB2312" w:cs="Times New Roman"/>
                <w:color w:val="auto"/>
                <w:spacing w:val="-4"/>
                <w:kern w:val="0"/>
                <w:sz w:val="22"/>
                <w:szCs w:val="18"/>
                <w:highlight w:val="none"/>
                <w:lang w:val="en" w:eastAsia="zh-CN"/>
              </w:rPr>
            </w:pPr>
            <w:r>
              <w:rPr>
                <w:rFonts w:hint="default" w:ascii="Times New Roman" w:hAnsi="Times New Roman" w:eastAsia="仿宋_GB2312" w:cs="Times New Roman"/>
                <w:color w:val="auto"/>
                <w:spacing w:val="-4"/>
                <w:kern w:val="0"/>
                <w:sz w:val="22"/>
                <w:szCs w:val="18"/>
                <w:highlight w:val="none"/>
              </w:rPr>
              <w:t>市</w:t>
            </w:r>
            <w:r>
              <w:rPr>
                <w:rFonts w:hint="default" w:ascii="Times New Roman" w:hAnsi="Times New Roman" w:eastAsia="仿宋_GB2312" w:cs="Times New Roman"/>
                <w:color w:val="auto"/>
                <w:spacing w:val="-4"/>
                <w:kern w:val="0"/>
                <w:sz w:val="22"/>
                <w:szCs w:val="18"/>
                <w:highlight w:val="none"/>
                <w:lang w:eastAsia="zh-CN"/>
              </w:rPr>
              <w:t>投资集团</w:t>
            </w:r>
          </w:p>
        </w:tc>
        <w:tc>
          <w:tcPr>
            <w:tcW w:w="2438" w:type="dxa"/>
            <w:vAlign w:val="center"/>
          </w:tcPr>
          <w:p>
            <w:pPr>
              <w:keepNext w:val="0"/>
              <w:keepLines w:val="0"/>
              <w:pageBreakBefore w:val="0"/>
              <w:widowControl w:val="0"/>
              <w:kinsoku/>
              <w:wordWrap/>
              <w:overflowPunct/>
              <w:topLinePunct w:val="0"/>
              <w:autoSpaceDE/>
              <w:autoSpaceDN/>
              <w:bidi w:val="0"/>
              <w:adjustRightInd w:val="0"/>
              <w:snapToGrid w:val="0"/>
              <w:spacing w:line="240" w:lineRule="atLeast"/>
              <w:ind w:left="0" w:leftChars="0" w:firstLine="0" w:firstLineChars="0"/>
              <w:jc w:val="both"/>
              <w:textAlignment w:val="auto"/>
              <w:rPr>
                <w:rFonts w:hint="default" w:ascii="Times New Roman" w:hAnsi="Times New Roman" w:eastAsia="仿宋_GB2312" w:cs="Times New Roman"/>
                <w:color w:val="auto"/>
                <w:spacing w:val="-4"/>
                <w:kern w:val="0"/>
                <w:sz w:val="22"/>
                <w:szCs w:val="18"/>
                <w:highlight w:val="none"/>
                <w:lang w:val="en" w:eastAsia="zh-CN"/>
              </w:rPr>
            </w:pPr>
            <w:r>
              <w:rPr>
                <w:rFonts w:hint="eastAsia" w:ascii="Times New Roman" w:hAnsi="Times New Roman" w:eastAsia="仿宋_GB2312" w:cs="Times New Roman"/>
                <w:color w:val="auto"/>
                <w:spacing w:val="-4"/>
                <w:kern w:val="0"/>
                <w:sz w:val="22"/>
                <w:szCs w:val="18"/>
                <w:highlight w:val="none"/>
                <w:lang w:val="en-US" w:eastAsia="zh-CN"/>
              </w:rPr>
              <w:t>市</w:t>
            </w:r>
            <w:r>
              <w:rPr>
                <w:rFonts w:hint="default" w:ascii="Times New Roman" w:hAnsi="Times New Roman" w:eastAsia="仿宋_GB2312" w:cs="Times New Roman"/>
                <w:color w:val="auto"/>
                <w:spacing w:val="-4"/>
                <w:kern w:val="0"/>
                <w:sz w:val="22"/>
                <w:szCs w:val="18"/>
                <w:highlight w:val="none"/>
                <w:lang w:val="en-US" w:eastAsia="zh-CN"/>
              </w:rPr>
              <w:t>自然资源</w:t>
            </w:r>
            <w:r>
              <w:rPr>
                <w:rFonts w:hint="eastAsia" w:ascii="Times New Roman" w:hAnsi="Times New Roman" w:eastAsia="仿宋_GB2312" w:cs="Times New Roman"/>
                <w:color w:val="auto"/>
                <w:spacing w:val="-4"/>
                <w:kern w:val="0"/>
                <w:sz w:val="22"/>
                <w:szCs w:val="18"/>
                <w:highlight w:val="none"/>
                <w:lang w:val="en-US" w:eastAsia="zh-CN"/>
              </w:rPr>
              <w:t>和</w:t>
            </w:r>
            <w:r>
              <w:rPr>
                <w:rFonts w:hint="default" w:ascii="Times New Roman" w:hAnsi="Times New Roman" w:eastAsia="仿宋_GB2312" w:cs="Times New Roman"/>
                <w:color w:val="auto"/>
                <w:spacing w:val="-4"/>
                <w:kern w:val="0"/>
                <w:sz w:val="22"/>
                <w:szCs w:val="18"/>
                <w:highlight w:val="none"/>
                <w:lang w:val="en-US" w:eastAsia="zh-CN"/>
              </w:rPr>
              <w:t>规划局、</w:t>
            </w:r>
            <w:r>
              <w:rPr>
                <w:rFonts w:hint="eastAsia" w:ascii="Times New Roman" w:hAnsi="Times New Roman" w:eastAsia="仿宋_GB2312" w:cs="Times New Roman"/>
                <w:color w:val="auto"/>
                <w:spacing w:val="-4"/>
                <w:kern w:val="0"/>
                <w:sz w:val="22"/>
                <w:szCs w:val="18"/>
                <w:highlight w:val="none"/>
                <w:lang w:val="en-US" w:eastAsia="zh-CN"/>
              </w:rPr>
              <w:t>市</w:t>
            </w:r>
            <w:r>
              <w:rPr>
                <w:rFonts w:hint="default" w:ascii="Times New Roman" w:hAnsi="Times New Roman" w:eastAsia="仿宋_GB2312" w:cs="Times New Roman"/>
                <w:color w:val="auto"/>
                <w:spacing w:val="-4"/>
                <w:kern w:val="0"/>
                <w:sz w:val="22"/>
                <w:szCs w:val="18"/>
                <w:highlight w:val="none"/>
                <w:lang w:val="en-US" w:eastAsia="zh-CN"/>
              </w:rPr>
              <w:t>公安局、</w:t>
            </w:r>
            <w:r>
              <w:rPr>
                <w:rFonts w:hint="eastAsia" w:ascii="Times New Roman" w:hAnsi="Times New Roman" w:eastAsia="仿宋_GB2312" w:cs="Times New Roman"/>
                <w:color w:val="auto"/>
                <w:spacing w:val="-4"/>
                <w:kern w:val="0"/>
                <w:sz w:val="22"/>
                <w:szCs w:val="18"/>
                <w:highlight w:val="none"/>
                <w:lang w:val="en-US" w:eastAsia="zh-CN"/>
              </w:rPr>
              <w:t>市</w:t>
            </w:r>
            <w:r>
              <w:rPr>
                <w:rFonts w:hint="default" w:ascii="Times New Roman" w:hAnsi="Times New Roman" w:eastAsia="仿宋_GB2312" w:cs="Times New Roman"/>
                <w:color w:val="auto"/>
                <w:spacing w:val="-4"/>
                <w:kern w:val="0"/>
                <w:sz w:val="22"/>
                <w:szCs w:val="18"/>
                <w:highlight w:val="none"/>
                <w:lang w:val="en-US" w:eastAsia="zh-CN"/>
              </w:rPr>
              <w:t>住房城乡建设局、</w:t>
            </w:r>
            <w:r>
              <w:rPr>
                <w:rFonts w:hint="eastAsia" w:ascii="Times New Roman" w:hAnsi="Times New Roman" w:eastAsia="仿宋_GB2312" w:cs="Times New Roman"/>
                <w:color w:val="auto"/>
                <w:spacing w:val="-4"/>
                <w:kern w:val="0"/>
                <w:sz w:val="22"/>
                <w:szCs w:val="18"/>
                <w:highlight w:val="none"/>
                <w:lang w:val="en-US" w:eastAsia="zh-CN"/>
              </w:rPr>
              <w:t>市</w:t>
            </w:r>
            <w:r>
              <w:rPr>
                <w:rFonts w:hint="default" w:ascii="Times New Roman" w:hAnsi="Times New Roman" w:eastAsia="仿宋_GB2312" w:cs="Times New Roman"/>
                <w:color w:val="auto"/>
                <w:spacing w:val="-4"/>
                <w:kern w:val="0"/>
                <w:sz w:val="22"/>
                <w:szCs w:val="18"/>
                <w:highlight w:val="none"/>
                <w:lang w:val="en-US" w:eastAsia="zh-CN"/>
              </w:rPr>
              <w:t>城市管理局、</w:t>
            </w:r>
            <w:r>
              <w:rPr>
                <w:rFonts w:hint="eastAsia" w:ascii="Times New Roman" w:hAnsi="Times New Roman" w:eastAsia="仿宋_GB2312" w:cs="Times New Roman"/>
                <w:color w:val="auto"/>
                <w:spacing w:val="-4"/>
                <w:kern w:val="0"/>
                <w:sz w:val="22"/>
                <w:szCs w:val="18"/>
                <w:highlight w:val="none"/>
                <w:lang w:val="en-US" w:eastAsia="zh-CN"/>
              </w:rPr>
              <w:t>市</w:t>
            </w:r>
            <w:r>
              <w:rPr>
                <w:rFonts w:hint="default" w:ascii="Times New Roman" w:hAnsi="Times New Roman" w:eastAsia="仿宋_GB2312" w:cs="Times New Roman"/>
                <w:color w:val="auto"/>
                <w:spacing w:val="-4"/>
                <w:kern w:val="0"/>
                <w:sz w:val="22"/>
                <w:szCs w:val="18"/>
                <w:highlight w:val="none"/>
                <w:lang w:val="en-US" w:eastAsia="zh-CN"/>
              </w:rPr>
              <w:t>交通运输局、市机关事务中心、</w:t>
            </w:r>
            <w:r>
              <w:rPr>
                <w:rFonts w:hint="eastAsia" w:ascii="Times New Roman" w:hAnsi="Times New Roman" w:eastAsia="仿宋_GB2312" w:cs="Times New Roman"/>
                <w:color w:val="auto"/>
                <w:spacing w:val="-4"/>
                <w:kern w:val="0"/>
                <w:sz w:val="22"/>
                <w:szCs w:val="18"/>
                <w:highlight w:val="none"/>
                <w:lang w:val="en-US" w:eastAsia="zh-CN"/>
              </w:rPr>
              <w:t>周口</w:t>
            </w:r>
            <w:r>
              <w:rPr>
                <w:rFonts w:hint="default" w:ascii="Times New Roman" w:hAnsi="Times New Roman" w:eastAsia="仿宋_GB2312" w:cs="Times New Roman"/>
                <w:color w:val="auto"/>
                <w:spacing w:val="-4"/>
                <w:kern w:val="0"/>
                <w:sz w:val="22"/>
                <w:szCs w:val="18"/>
                <w:highlight w:val="none"/>
                <w:lang w:val="en-US" w:eastAsia="zh-CN"/>
              </w:rPr>
              <w:t>供电公司</w:t>
            </w:r>
            <w:r>
              <w:rPr>
                <w:rFonts w:hint="eastAsia" w:ascii="Times New Roman" w:hAnsi="Times New Roman" w:eastAsia="仿宋_GB2312" w:cs="Times New Roman"/>
                <w:color w:val="auto"/>
                <w:spacing w:val="-4"/>
                <w:kern w:val="0"/>
                <w:sz w:val="22"/>
                <w:szCs w:val="18"/>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714" w:type="dxa"/>
            <w:vAlign w:val="center"/>
          </w:tcPr>
          <w:p>
            <w:pPr>
              <w:widowControl w:val="0"/>
              <w:adjustRightInd w:val="0"/>
              <w:snapToGrid w:val="0"/>
              <w:spacing w:line="240" w:lineRule="atLeast"/>
              <w:ind w:left="0" w:leftChars="0" w:firstLine="0" w:firstLineChars="0"/>
              <w:jc w:val="center"/>
              <w:rPr>
                <w:rFonts w:hint="eastAsia" w:asciiTheme="majorEastAsia" w:hAnsiTheme="majorEastAsia" w:eastAsiaTheme="majorEastAsia" w:cstheme="majorEastAsia"/>
                <w:color w:val="auto"/>
                <w:spacing w:val="-4"/>
                <w:kern w:val="0"/>
                <w:sz w:val="22"/>
                <w:szCs w:val="18"/>
                <w:highlight w:val="none"/>
                <w:lang w:val="en-US" w:eastAsia="zh-CN"/>
              </w:rPr>
            </w:pPr>
            <w:r>
              <w:rPr>
                <w:rFonts w:hint="eastAsia" w:asciiTheme="majorEastAsia" w:hAnsiTheme="majorEastAsia" w:eastAsiaTheme="majorEastAsia" w:cstheme="majorEastAsia"/>
                <w:color w:val="auto"/>
                <w:spacing w:val="-4"/>
                <w:kern w:val="0"/>
                <w:sz w:val="22"/>
                <w:szCs w:val="18"/>
                <w:highlight w:val="none"/>
                <w:lang w:val="en-US" w:eastAsia="zh-CN"/>
              </w:rPr>
              <w:t>2</w:t>
            </w:r>
          </w:p>
        </w:tc>
        <w:tc>
          <w:tcPr>
            <w:tcW w:w="3435" w:type="dxa"/>
            <w:gridSpan w:val="2"/>
            <w:vAlign w:val="center"/>
          </w:tcPr>
          <w:p>
            <w:pPr>
              <w:widowControl w:val="0"/>
              <w:adjustRightInd w:val="0"/>
              <w:snapToGrid w:val="0"/>
              <w:spacing w:line="240" w:lineRule="atLeast"/>
              <w:ind w:left="0" w:leftChars="0" w:firstLine="0" w:firstLineChars="0"/>
              <w:jc w:val="center"/>
              <w:rPr>
                <w:rFonts w:hint="default" w:ascii="Times New Roman" w:hAnsi="Times New Roman" w:eastAsia="仿宋_GB2312" w:cs="Times New Roman"/>
                <w:color w:val="auto"/>
                <w:spacing w:val="-4"/>
                <w:kern w:val="0"/>
                <w:sz w:val="22"/>
                <w:szCs w:val="18"/>
                <w:highlight w:val="none"/>
                <w:lang w:val="en" w:eastAsia="zh-CN"/>
              </w:rPr>
            </w:pPr>
            <w:r>
              <w:rPr>
                <w:rFonts w:hint="default" w:ascii="Times New Roman" w:hAnsi="Times New Roman" w:eastAsia="仿宋_GB2312" w:cs="Times New Roman"/>
                <w:color w:val="auto"/>
                <w:spacing w:val="-4"/>
                <w:kern w:val="0"/>
                <w:sz w:val="22"/>
                <w:szCs w:val="18"/>
                <w:highlight w:val="none"/>
              </w:rPr>
              <w:t>推进</w:t>
            </w:r>
            <w:r>
              <w:rPr>
                <w:rFonts w:hint="default" w:ascii="Times New Roman" w:hAnsi="Times New Roman" w:eastAsia="仿宋_GB2312" w:cs="Times New Roman"/>
                <w:color w:val="auto"/>
                <w:spacing w:val="-4"/>
                <w:kern w:val="0"/>
                <w:sz w:val="22"/>
                <w:szCs w:val="18"/>
                <w:highlight w:val="none"/>
                <w:lang w:eastAsia="zh-CN"/>
              </w:rPr>
              <w:t>居民小区</w:t>
            </w:r>
            <w:r>
              <w:rPr>
                <w:rFonts w:hint="default" w:ascii="Times New Roman" w:hAnsi="Times New Roman" w:eastAsia="仿宋_GB2312" w:cs="Times New Roman"/>
                <w:color w:val="auto"/>
                <w:spacing w:val="-4"/>
                <w:kern w:val="0"/>
                <w:sz w:val="22"/>
                <w:szCs w:val="18"/>
                <w:highlight w:val="none"/>
              </w:rPr>
              <w:t>自用充电设施建设</w:t>
            </w:r>
            <w:r>
              <w:rPr>
                <w:rFonts w:hint="default" w:ascii="Times New Roman" w:hAnsi="Times New Roman" w:eastAsia="仿宋_GB2312" w:cs="Times New Roman"/>
                <w:color w:val="auto"/>
                <w:spacing w:val="-4"/>
                <w:kern w:val="0"/>
                <w:sz w:val="22"/>
                <w:szCs w:val="18"/>
                <w:highlight w:val="none"/>
                <w:lang w:eastAsia="zh-CN"/>
              </w:rPr>
              <w:t>。</w:t>
            </w:r>
          </w:p>
        </w:tc>
        <w:tc>
          <w:tcPr>
            <w:tcW w:w="1935" w:type="dxa"/>
            <w:vAlign w:val="center"/>
          </w:tcPr>
          <w:p>
            <w:pPr>
              <w:widowControl w:val="0"/>
              <w:adjustRightInd w:val="0"/>
              <w:snapToGrid w:val="0"/>
              <w:spacing w:line="240" w:lineRule="atLeast"/>
              <w:ind w:left="0" w:leftChars="0" w:firstLine="0" w:firstLineChars="0"/>
              <w:jc w:val="center"/>
              <w:rPr>
                <w:rFonts w:hint="default" w:ascii="Times New Roman" w:hAnsi="Times New Roman" w:eastAsia="仿宋_GB2312" w:cs="Times New Roman"/>
                <w:color w:val="auto"/>
                <w:spacing w:val="-4"/>
                <w:kern w:val="0"/>
                <w:sz w:val="22"/>
                <w:szCs w:val="18"/>
                <w:highlight w:val="none"/>
                <w:lang w:val="en" w:eastAsia="zh-CN"/>
              </w:rPr>
            </w:pPr>
            <w:r>
              <w:rPr>
                <w:rFonts w:hint="default" w:ascii="Times New Roman" w:hAnsi="Times New Roman" w:eastAsia="仿宋_GB2312" w:cs="Times New Roman"/>
                <w:color w:val="auto"/>
                <w:spacing w:val="-4"/>
                <w:kern w:val="0"/>
                <w:sz w:val="22"/>
                <w:szCs w:val="18"/>
                <w:highlight w:val="none"/>
                <w:lang w:val="en" w:eastAsia="zh-CN"/>
              </w:rPr>
              <w:t>市住房城乡建设局</w:t>
            </w:r>
          </w:p>
        </w:tc>
        <w:tc>
          <w:tcPr>
            <w:tcW w:w="2438" w:type="dxa"/>
            <w:vAlign w:val="center"/>
          </w:tcPr>
          <w:p>
            <w:pPr>
              <w:widowControl w:val="0"/>
              <w:adjustRightInd w:val="0"/>
              <w:snapToGrid w:val="0"/>
              <w:spacing w:line="240" w:lineRule="atLeast"/>
              <w:ind w:left="0" w:leftChars="0" w:firstLine="0" w:firstLineChars="0"/>
              <w:jc w:val="center"/>
              <w:rPr>
                <w:rFonts w:hint="default" w:ascii="Times New Roman" w:hAnsi="Times New Roman" w:eastAsia="仿宋_GB2312" w:cs="Times New Roman"/>
                <w:color w:val="auto"/>
                <w:spacing w:val="-4"/>
                <w:kern w:val="0"/>
                <w:sz w:val="22"/>
                <w:szCs w:val="18"/>
                <w:highlight w:val="none"/>
                <w:lang w:val="en" w:eastAsia="zh-CN"/>
              </w:rPr>
            </w:pPr>
            <w:r>
              <w:rPr>
                <w:rFonts w:hint="default" w:ascii="Times New Roman" w:hAnsi="Times New Roman" w:eastAsia="仿宋_GB2312" w:cs="Times New Roman"/>
                <w:color w:val="auto"/>
                <w:spacing w:val="-4"/>
                <w:kern w:val="0"/>
                <w:sz w:val="22"/>
                <w:szCs w:val="18"/>
                <w:highlight w:val="none"/>
                <w:lang w:eastAsia="zh-CN"/>
              </w:rPr>
              <w:t>市自然资源</w:t>
            </w:r>
            <w:r>
              <w:rPr>
                <w:rFonts w:hint="default" w:ascii="Times New Roman" w:hAnsi="Times New Roman" w:eastAsia="仿宋_GB2312" w:cs="Times New Roman"/>
                <w:color w:val="auto"/>
                <w:spacing w:val="-4"/>
                <w:kern w:val="0"/>
                <w:sz w:val="22"/>
                <w:szCs w:val="18"/>
                <w:highlight w:val="none"/>
              </w:rPr>
              <w:t>规划局、供电公司</w:t>
            </w:r>
            <w:r>
              <w:rPr>
                <w:rFonts w:hint="default" w:ascii="Times New Roman" w:hAnsi="Times New Roman" w:eastAsia="仿宋_GB2312" w:cs="Times New Roman"/>
                <w:color w:val="auto"/>
                <w:spacing w:val="-4"/>
                <w:kern w:val="0"/>
                <w:sz w:val="22"/>
                <w:szCs w:val="18"/>
                <w:highlight w:val="none"/>
                <w:lang w:eastAsia="zh-CN"/>
              </w:rPr>
              <w:t>、投资集团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14" w:type="dxa"/>
            <w:vMerge w:val="restart"/>
            <w:vAlign w:val="center"/>
          </w:tcPr>
          <w:p>
            <w:pPr>
              <w:widowControl w:val="0"/>
              <w:adjustRightInd w:val="0"/>
              <w:snapToGrid w:val="0"/>
              <w:spacing w:line="240" w:lineRule="atLeast"/>
              <w:ind w:left="0" w:leftChars="0" w:firstLine="0" w:firstLineChars="0"/>
              <w:jc w:val="center"/>
              <w:rPr>
                <w:rFonts w:hint="eastAsia" w:asciiTheme="majorEastAsia" w:hAnsiTheme="majorEastAsia" w:eastAsiaTheme="majorEastAsia" w:cstheme="majorEastAsia"/>
                <w:color w:val="auto"/>
                <w:spacing w:val="-4"/>
                <w:kern w:val="0"/>
                <w:sz w:val="22"/>
                <w:szCs w:val="18"/>
                <w:highlight w:val="none"/>
                <w:lang w:val="en-US" w:eastAsia="zh-CN"/>
              </w:rPr>
            </w:pPr>
            <w:r>
              <w:rPr>
                <w:rFonts w:hint="eastAsia" w:asciiTheme="majorEastAsia" w:hAnsiTheme="majorEastAsia" w:eastAsiaTheme="majorEastAsia" w:cstheme="majorEastAsia"/>
                <w:color w:val="auto"/>
                <w:spacing w:val="-4"/>
                <w:kern w:val="0"/>
                <w:sz w:val="22"/>
                <w:szCs w:val="18"/>
                <w:highlight w:val="none"/>
                <w:lang w:val="en-US" w:eastAsia="zh-CN"/>
              </w:rPr>
              <w:t>3</w:t>
            </w:r>
          </w:p>
        </w:tc>
        <w:tc>
          <w:tcPr>
            <w:tcW w:w="959" w:type="dxa"/>
            <w:vMerge w:val="restart"/>
            <w:vAlign w:val="center"/>
          </w:tcPr>
          <w:p>
            <w:pPr>
              <w:widowControl w:val="0"/>
              <w:adjustRightInd w:val="0"/>
              <w:snapToGrid w:val="0"/>
              <w:spacing w:line="240" w:lineRule="atLeast"/>
              <w:ind w:left="0" w:leftChars="0" w:firstLine="0" w:firstLineChars="0"/>
              <w:jc w:val="left"/>
              <w:rPr>
                <w:rFonts w:hint="eastAsia" w:ascii="Times New Roman" w:hAnsi="Times New Roman" w:eastAsia="仿宋_GB2312" w:cs="Times New Roman"/>
                <w:color w:val="auto"/>
                <w:spacing w:val="-4"/>
                <w:kern w:val="0"/>
                <w:sz w:val="22"/>
                <w:szCs w:val="18"/>
                <w:highlight w:val="none"/>
                <w:lang w:val="en" w:eastAsia="zh-CN"/>
              </w:rPr>
            </w:pPr>
            <w:r>
              <w:rPr>
                <w:rFonts w:hint="default" w:ascii="Times New Roman" w:hAnsi="Times New Roman" w:eastAsia="仿宋_GB2312" w:cs="Times New Roman"/>
                <w:color w:val="auto"/>
                <w:spacing w:val="-4"/>
                <w:kern w:val="0"/>
                <w:sz w:val="22"/>
                <w:szCs w:val="18"/>
                <w:highlight w:val="none"/>
              </w:rPr>
              <w:t>推进公用充电设施发展</w:t>
            </w:r>
            <w:r>
              <w:rPr>
                <w:rFonts w:hint="eastAsia" w:ascii="Times New Roman" w:hAnsi="Times New Roman" w:eastAsia="仿宋_GB2312" w:cs="Times New Roman"/>
                <w:color w:val="auto"/>
                <w:spacing w:val="-4"/>
                <w:kern w:val="0"/>
                <w:sz w:val="22"/>
                <w:szCs w:val="18"/>
                <w:highlight w:val="none"/>
                <w:lang w:eastAsia="zh-CN"/>
              </w:rPr>
              <w:t>。</w:t>
            </w:r>
          </w:p>
        </w:tc>
        <w:tc>
          <w:tcPr>
            <w:tcW w:w="2476" w:type="dxa"/>
            <w:vAlign w:val="center"/>
          </w:tcPr>
          <w:p>
            <w:pPr>
              <w:widowControl w:val="0"/>
              <w:adjustRightInd w:val="0"/>
              <w:snapToGrid w:val="0"/>
              <w:spacing w:line="240" w:lineRule="atLeast"/>
              <w:ind w:left="0" w:leftChars="0" w:firstLine="0" w:firstLineChars="0"/>
              <w:jc w:val="left"/>
              <w:rPr>
                <w:rFonts w:hint="default" w:ascii="Times New Roman" w:hAnsi="Times New Roman" w:eastAsia="仿宋_GB2312" w:cs="Times New Roman"/>
                <w:color w:val="auto"/>
                <w:spacing w:val="-4"/>
                <w:kern w:val="0"/>
                <w:sz w:val="22"/>
                <w:szCs w:val="18"/>
                <w:highlight w:val="none"/>
                <w:lang w:val="en" w:eastAsia="zh-CN"/>
              </w:rPr>
            </w:pPr>
            <w:r>
              <w:rPr>
                <w:rFonts w:hint="default" w:ascii="Times New Roman" w:hAnsi="Times New Roman" w:eastAsia="仿宋_GB2312" w:cs="Times New Roman"/>
                <w:color w:val="auto"/>
                <w:spacing w:val="-4"/>
                <w:kern w:val="0"/>
                <w:sz w:val="22"/>
                <w:szCs w:val="18"/>
                <w:highlight w:val="none"/>
              </w:rPr>
              <w:t>党政机关、事业单位内部停车位充电设施建设。</w:t>
            </w:r>
          </w:p>
        </w:tc>
        <w:tc>
          <w:tcPr>
            <w:tcW w:w="1935" w:type="dxa"/>
            <w:vAlign w:val="center"/>
          </w:tcPr>
          <w:p>
            <w:pPr>
              <w:widowControl w:val="0"/>
              <w:adjustRightInd w:val="0"/>
              <w:snapToGrid w:val="0"/>
              <w:spacing w:line="240" w:lineRule="atLeast"/>
              <w:ind w:left="0" w:leftChars="0" w:firstLine="0" w:firstLineChars="0"/>
              <w:jc w:val="center"/>
              <w:rPr>
                <w:rFonts w:hint="default" w:ascii="Times New Roman" w:hAnsi="Times New Roman" w:eastAsia="仿宋_GB2312" w:cs="Times New Roman"/>
                <w:color w:val="auto"/>
                <w:spacing w:val="-4"/>
                <w:kern w:val="0"/>
                <w:sz w:val="22"/>
                <w:szCs w:val="18"/>
                <w:highlight w:val="none"/>
                <w:lang w:val="en" w:eastAsia="zh-CN"/>
              </w:rPr>
            </w:pPr>
            <w:r>
              <w:rPr>
                <w:rFonts w:hint="default" w:ascii="Times New Roman" w:hAnsi="Times New Roman" w:eastAsia="仿宋_GB2312" w:cs="Times New Roman"/>
                <w:color w:val="auto"/>
                <w:spacing w:val="-4"/>
                <w:kern w:val="0"/>
                <w:sz w:val="22"/>
                <w:szCs w:val="18"/>
                <w:highlight w:val="none"/>
              </w:rPr>
              <w:t>市机关</w:t>
            </w:r>
            <w:r>
              <w:rPr>
                <w:rFonts w:hint="default" w:ascii="Times New Roman" w:hAnsi="Times New Roman" w:eastAsia="仿宋_GB2312" w:cs="Times New Roman"/>
                <w:color w:val="auto"/>
                <w:spacing w:val="-4"/>
                <w:kern w:val="0"/>
                <w:sz w:val="22"/>
                <w:szCs w:val="18"/>
                <w:highlight w:val="none"/>
                <w:lang w:val="en"/>
              </w:rPr>
              <w:t>事务</w:t>
            </w:r>
            <w:r>
              <w:rPr>
                <w:rFonts w:hint="default" w:ascii="Times New Roman" w:hAnsi="Times New Roman" w:eastAsia="仿宋_GB2312" w:cs="Times New Roman"/>
                <w:color w:val="auto"/>
                <w:spacing w:val="-4"/>
                <w:kern w:val="0"/>
                <w:sz w:val="22"/>
                <w:szCs w:val="18"/>
                <w:highlight w:val="none"/>
                <w:lang w:eastAsia="zh-CN"/>
              </w:rPr>
              <w:t>中心</w:t>
            </w:r>
          </w:p>
        </w:tc>
        <w:tc>
          <w:tcPr>
            <w:tcW w:w="2438" w:type="dxa"/>
            <w:vAlign w:val="center"/>
          </w:tcPr>
          <w:p>
            <w:pPr>
              <w:widowControl w:val="0"/>
              <w:adjustRightInd w:val="0"/>
              <w:snapToGrid w:val="0"/>
              <w:spacing w:line="240" w:lineRule="atLeast"/>
              <w:ind w:left="0" w:leftChars="0" w:firstLine="0" w:firstLineChars="0"/>
              <w:jc w:val="left"/>
              <w:rPr>
                <w:rFonts w:hint="eastAsia" w:ascii="Times New Roman" w:hAnsi="Times New Roman" w:eastAsia="仿宋_GB2312" w:cs="Times New Roman"/>
                <w:color w:val="auto"/>
                <w:spacing w:val="-4"/>
                <w:kern w:val="0"/>
                <w:sz w:val="22"/>
                <w:szCs w:val="18"/>
                <w:highlight w:val="none"/>
                <w:lang w:val="en" w:eastAsia="zh-CN"/>
              </w:rPr>
            </w:pPr>
            <w:r>
              <w:rPr>
                <w:rFonts w:hint="default" w:ascii="Times New Roman" w:hAnsi="Times New Roman" w:eastAsia="仿宋_GB2312" w:cs="Times New Roman"/>
                <w:color w:val="auto"/>
                <w:spacing w:val="-4"/>
                <w:kern w:val="0"/>
                <w:sz w:val="22"/>
                <w:szCs w:val="18"/>
                <w:highlight w:val="none"/>
                <w:lang w:eastAsia="zh-CN"/>
              </w:rPr>
              <w:t>市投资集团、</w:t>
            </w:r>
            <w:r>
              <w:rPr>
                <w:rFonts w:hint="eastAsia" w:ascii="Times New Roman" w:hAnsi="Times New Roman" w:eastAsia="仿宋_GB2312" w:cs="Times New Roman"/>
                <w:color w:val="auto"/>
                <w:spacing w:val="-4"/>
                <w:kern w:val="0"/>
                <w:sz w:val="22"/>
                <w:szCs w:val="18"/>
                <w:highlight w:val="none"/>
                <w:lang w:eastAsia="zh-CN"/>
              </w:rPr>
              <w:t>周口</w:t>
            </w:r>
            <w:r>
              <w:rPr>
                <w:rFonts w:hint="default" w:ascii="Times New Roman" w:hAnsi="Times New Roman" w:eastAsia="仿宋_GB2312" w:cs="Times New Roman"/>
                <w:color w:val="auto"/>
                <w:spacing w:val="-4"/>
                <w:kern w:val="0"/>
                <w:sz w:val="22"/>
                <w:szCs w:val="18"/>
                <w:highlight w:val="none"/>
              </w:rPr>
              <w:t>供电公司</w:t>
            </w:r>
            <w:r>
              <w:rPr>
                <w:rFonts w:hint="eastAsia" w:ascii="Times New Roman" w:hAnsi="Times New Roman" w:eastAsia="仿宋_GB2312" w:cs="Times New Roman"/>
                <w:color w:val="auto"/>
                <w:spacing w:val="-4"/>
                <w:kern w:val="0"/>
                <w:sz w:val="22"/>
                <w:szCs w:val="18"/>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4" w:type="dxa"/>
            <w:vMerge w:val="continue"/>
            <w:vAlign w:val="center"/>
          </w:tcPr>
          <w:p>
            <w:pPr>
              <w:widowControl w:val="0"/>
              <w:adjustRightInd w:val="0"/>
              <w:snapToGrid w:val="0"/>
              <w:spacing w:line="240" w:lineRule="atLeast"/>
              <w:jc w:val="center"/>
              <w:rPr>
                <w:rFonts w:hint="eastAsia" w:asciiTheme="majorEastAsia" w:hAnsiTheme="majorEastAsia" w:eastAsiaTheme="majorEastAsia" w:cstheme="majorEastAsia"/>
                <w:color w:val="auto"/>
                <w:spacing w:val="-4"/>
                <w:kern w:val="0"/>
                <w:sz w:val="22"/>
                <w:szCs w:val="18"/>
                <w:highlight w:val="none"/>
                <w:lang w:val="en" w:eastAsia="zh-CN"/>
              </w:rPr>
            </w:pPr>
          </w:p>
        </w:tc>
        <w:tc>
          <w:tcPr>
            <w:tcW w:w="959" w:type="dxa"/>
            <w:vMerge w:val="continue"/>
            <w:vAlign w:val="center"/>
          </w:tcPr>
          <w:p>
            <w:pPr>
              <w:widowControl w:val="0"/>
              <w:adjustRightInd w:val="0"/>
              <w:snapToGrid w:val="0"/>
              <w:spacing w:line="240" w:lineRule="atLeast"/>
              <w:jc w:val="center"/>
              <w:rPr>
                <w:rFonts w:hint="default" w:ascii="Times New Roman" w:hAnsi="Times New Roman" w:eastAsia="仿宋_GB2312" w:cs="Times New Roman"/>
                <w:color w:val="auto"/>
                <w:spacing w:val="-4"/>
                <w:kern w:val="0"/>
                <w:sz w:val="22"/>
                <w:szCs w:val="18"/>
                <w:highlight w:val="none"/>
                <w:lang w:val="en" w:eastAsia="zh-CN"/>
              </w:rPr>
            </w:pPr>
          </w:p>
        </w:tc>
        <w:tc>
          <w:tcPr>
            <w:tcW w:w="2476" w:type="dxa"/>
            <w:vAlign w:val="center"/>
          </w:tcPr>
          <w:p>
            <w:pPr>
              <w:keepNext w:val="0"/>
              <w:keepLines w:val="0"/>
              <w:pageBreakBefore w:val="0"/>
              <w:widowControl w:val="0"/>
              <w:kinsoku/>
              <w:wordWrap/>
              <w:overflowPunct/>
              <w:topLinePunct w:val="0"/>
              <w:autoSpaceDE/>
              <w:autoSpaceDN/>
              <w:bidi w:val="0"/>
              <w:adjustRightInd w:val="0"/>
              <w:snapToGrid w:val="0"/>
              <w:spacing w:line="240" w:lineRule="atLeast"/>
              <w:ind w:left="0" w:leftChars="0" w:firstLine="0" w:firstLineChars="0"/>
              <w:jc w:val="both"/>
              <w:textAlignment w:val="auto"/>
              <w:rPr>
                <w:rFonts w:hint="default" w:ascii="Times New Roman" w:hAnsi="Times New Roman" w:eastAsia="仿宋_GB2312" w:cs="Times New Roman"/>
                <w:color w:val="auto"/>
                <w:spacing w:val="-4"/>
                <w:kern w:val="0"/>
                <w:sz w:val="22"/>
                <w:szCs w:val="18"/>
                <w:highlight w:val="none"/>
                <w:lang w:val="en" w:eastAsia="zh-CN"/>
              </w:rPr>
            </w:pPr>
            <w:r>
              <w:rPr>
                <w:rFonts w:hint="default" w:ascii="Times New Roman" w:hAnsi="Times New Roman" w:eastAsia="仿宋_GB2312" w:cs="Times New Roman"/>
                <w:color w:val="auto"/>
                <w:spacing w:val="-4"/>
                <w:kern w:val="0"/>
                <w:sz w:val="22"/>
                <w:szCs w:val="18"/>
                <w:highlight w:val="none"/>
              </w:rPr>
              <w:t>商场、超市、宾馆、医院、商务楼宇、文体场馆、</w:t>
            </w:r>
            <w:r>
              <w:rPr>
                <w:rFonts w:hint="default" w:ascii="Times New Roman" w:hAnsi="Times New Roman" w:eastAsia="仿宋_GB2312" w:cs="Times New Roman"/>
                <w:color w:val="auto"/>
                <w:spacing w:val="-4"/>
                <w:kern w:val="0"/>
                <w:sz w:val="22"/>
                <w:szCs w:val="18"/>
                <w:highlight w:val="none"/>
                <w:lang w:eastAsia="zh-CN"/>
              </w:rPr>
              <w:t>公园、</w:t>
            </w:r>
            <w:r>
              <w:rPr>
                <w:rFonts w:hint="default" w:ascii="Times New Roman" w:hAnsi="Times New Roman" w:eastAsia="仿宋_GB2312" w:cs="Times New Roman"/>
                <w:color w:val="auto"/>
                <w:spacing w:val="-4"/>
                <w:kern w:val="0"/>
                <w:sz w:val="22"/>
                <w:szCs w:val="18"/>
                <w:highlight w:val="none"/>
              </w:rPr>
              <w:t>旅游</w:t>
            </w:r>
            <w:r>
              <w:rPr>
                <w:rFonts w:hint="default" w:ascii="Times New Roman" w:hAnsi="Times New Roman" w:eastAsia="仿宋_GB2312" w:cs="Times New Roman"/>
                <w:color w:val="auto"/>
                <w:spacing w:val="-4"/>
                <w:kern w:val="0"/>
                <w:sz w:val="22"/>
                <w:szCs w:val="18"/>
                <w:highlight w:val="none"/>
                <w:lang w:eastAsia="zh-CN"/>
              </w:rPr>
              <w:t>区</w:t>
            </w:r>
            <w:r>
              <w:rPr>
                <w:rFonts w:hint="default" w:ascii="Times New Roman" w:hAnsi="Times New Roman" w:eastAsia="仿宋_GB2312" w:cs="Times New Roman"/>
                <w:color w:val="auto"/>
                <w:spacing w:val="-4"/>
                <w:kern w:val="0"/>
                <w:sz w:val="22"/>
                <w:szCs w:val="18"/>
                <w:highlight w:val="none"/>
              </w:rPr>
              <w:t>等大型公共建筑配建停车场</w:t>
            </w:r>
            <w:r>
              <w:rPr>
                <w:rFonts w:hint="default" w:ascii="Times New Roman" w:hAnsi="Times New Roman" w:eastAsia="仿宋_GB2312" w:cs="Times New Roman"/>
                <w:color w:val="auto"/>
                <w:spacing w:val="-4"/>
                <w:kern w:val="0"/>
                <w:sz w:val="22"/>
                <w:szCs w:val="18"/>
                <w:highlight w:val="none"/>
                <w:lang w:eastAsia="zh-CN"/>
              </w:rPr>
              <w:t>及</w:t>
            </w:r>
            <w:r>
              <w:rPr>
                <w:rFonts w:hint="default" w:ascii="Times New Roman" w:hAnsi="Times New Roman" w:eastAsia="仿宋_GB2312" w:cs="Times New Roman"/>
                <w:color w:val="auto"/>
                <w:spacing w:val="-4"/>
                <w:kern w:val="0"/>
                <w:sz w:val="22"/>
                <w:szCs w:val="18"/>
                <w:highlight w:val="none"/>
              </w:rPr>
              <w:t>各类社会公共停车场公用充电设施建设。</w:t>
            </w:r>
          </w:p>
        </w:tc>
        <w:tc>
          <w:tcPr>
            <w:tcW w:w="1935" w:type="dxa"/>
            <w:vAlign w:val="center"/>
          </w:tcPr>
          <w:p>
            <w:pPr>
              <w:keepNext w:val="0"/>
              <w:keepLines w:val="0"/>
              <w:pageBreakBefore w:val="0"/>
              <w:widowControl w:val="0"/>
              <w:kinsoku/>
              <w:wordWrap/>
              <w:overflowPunct/>
              <w:topLinePunct w:val="0"/>
              <w:autoSpaceDE/>
              <w:autoSpaceDN/>
              <w:bidi w:val="0"/>
              <w:adjustRightInd w:val="0"/>
              <w:snapToGrid w:val="0"/>
              <w:spacing w:line="240" w:lineRule="atLeast"/>
              <w:ind w:left="0" w:leftChars="0" w:firstLine="0" w:firstLineChars="0"/>
              <w:jc w:val="both"/>
              <w:textAlignment w:val="auto"/>
              <w:rPr>
                <w:rFonts w:hint="default" w:ascii="Times New Roman" w:hAnsi="Times New Roman" w:eastAsia="仿宋_GB2312" w:cs="Times New Roman"/>
                <w:color w:val="auto"/>
                <w:spacing w:val="-4"/>
                <w:kern w:val="0"/>
                <w:sz w:val="22"/>
                <w:szCs w:val="18"/>
                <w:highlight w:val="none"/>
                <w:lang w:val="en" w:eastAsia="zh-CN"/>
              </w:rPr>
            </w:pPr>
            <w:r>
              <w:rPr>
                <w:rFonts w:hint="default" w:ascii="Times New Roman" w:hAnsi="Times New Roman" w:eastAsia="仿宋_GB2312" w:cs="Times New Roman"/>
                <w:color w:val="auto"/>
                <w:spacing w:val="-4"/>
                <w:kern w:val="0"/>
                <w:sz w:val="22"/>
                <w:szCs w:val="18"/>
                <w:highlight w:val="none"/>
                <w:lang w:val="en" w:eastAsia="zh-CN"/>
              </w:rPr>
              <w:t>市公安局、</w:t>
            </w:r>
            <w:r>
              <w:rPr>
                <w:rFonts w:hint="eastAsia" w:ascii="Times New Roman" w:hAnsi="Times New Roman" w:eastAsia="仿宋_GB2312" w:cs="Times New Roman"/>
                <w:color w:val="auto"/>
                <w:spacing w:val="-4"/>
                <w:kern w:val="0"/>
                <w:sz w:val="22"/>
                <w:szCs w:val="18"/>
                <w:highlight w:val="none"/>
                <w:lang w:val="en" w:eastAsia="zh-CN"/>
              </w:rPr>
              <w:t>市自</w:t>
            </w:r>
            <w:r>
              <w:rPr>
                <w:rFonts w:hint="default" w:ascii="Times New Roman" w:hAnsi="Times New Roman" w:eastAsia="仿宋_GB2312" w:cs="Times New Roman"/>
                <w:color w:val="auto"/>
                <w:spacing w:val="-4"/>
                <w:kern w:val="0"/>
                <w:sz w:val="22"/>
                <w:szCs w:val="18"/>
                <w:highlight w:val="none"/>
                <w:lang w:val="en" w:eastAsia="zh-CN"/>
              </w:rPr>
              <w:t>然资源</w:t>
            </w:r>
            <w:r>
              <w:rPr>
                <w:rFonts w:hint="eastAsia" w:ascii="Times New Roman" w:hAnsi="Times New Roman" w:eastAsia="仿宋_GB2312" w:cs="Times New Roman"/>
                <w:color w:val="auto"/>
                <w:spacing w:val="-4"/>
                <w:kern w:val="0"/>
                <w:sz w:val="22"/>
                <w:szCs w:val="18"/>
                <w:highlight w:val="none"/>
                <w:lang w:val="en" w:eastAsia="zh-CN"/>
              </w:rPr>
              <w:t>和</w:t>
            </w:r>
            <w:r>
              <w:rPr>
                <w:rFonts w:hint="default" w:ascii="Times New Roman" w:hAnsi="Times New Roman" w:eastAsia="仿宋_GB2312" w:cs="Times New Roman"/>
                <w:color w:val="auto"/>
                <w:spacing w:val="-4"/>
                <w:kern w:val="0"/>
                <w:sz w:val="22"/>
                <w:szCs w:val="18"/>
                <w:highlight w:val="none"/>
                <w:lang w:val="en" w:eastAsia="zh-CN"/>
              </w:rPr>
              <w:t>规划局、市城市管理局</w:t>
            </w:r>
            <w:r>
              <w:rPr>
                <w:rFonts w:hint="eastAsia" w:ascii="Times New Roman" w:hAnsi="Times New Roman" w:eastAsia="仿宋_GB2312" w:cs="Times New Roman"/>
                <w:color w:val="auto"/>
                <w:spacing w:val="-4"/>
                <w:kern w:val="0"/>
                <w:sz w:val="22"/>
                <w:szCs w:val="18"/>
                <w:highlight w:val="none"/>
                <w:lang w:val="en" w:eastAsia="zh-CN"/>
              </w:rPr>
              <w:t>。</w:t>
            </w:r>
          </w:p>
        </w:tc>
        <w:tc>
          <w:tcPr>
            <w:tcW w:w="2438" w:type="dxa"/>
            <w:vAlign w:val="center"/>
          </w:tcPr>
          <w:p>
            <w:pPr>
              <w:keepNext w:val="0"/>
              <w:keepLines w:val="0"/>
              <w:pageBreakBefore w:val="0"/>
              <w:widowControl w:val="0"/>
              <w:kinsoku/>
              <w:wordWrap/>
              <w:overflowPunct/>
              <w:topLinePunct w:val="0"/>
              <w:autoSpaceDE/>
              <w:autoSpaceDN/>
              <w:bidi w:val="0"/>
              <w:adjustRightInd w:val="0"/>
              <w:snapToGrid w:val="0"/>
              <w:spacing w:line="240" w:lineRule="atLeast"/>
              <w:ind w:left="0" w:leftChars="0" w:firstLine="0" w:firstLineChars="0"/>
              <w:jc w:val="both"/>
              <w:textAlignment w:val="auto"/>
              <w:rPr>
                <w:rFonts w:hint="eastAsia" w:ascii="Times New Roman" w:hAnsi="Times New Roman" w:eastAsia="仿宋_GB2312" w:cs="Times New Roman"/>
                <w:color w:val="auto"/>
                <w:spacing w:val="-4"/>
                <w:kern w:val="0"/>
                <w:sz w:val="22"/>
                <w:szCs w:val="18"/>
                <w:highlight w:val="none"/>
                <w:lang w:val="en" w:eastAsia="zh-CN"/>
              </w:rPr>
            </w:pPr>
            <w:r>
              <w:rPr>
                <w:rFonts w:hint="default" w:ascii="Times New Roman" w:hAnsi="Times New Roman" w:eastAsia="仿宋_GB2312" w:cs="Times New Roman"/>
                <w:color w:val="auto"/>
                <w:spacing w:val="-4"/>
                <w:kern w:val="0"/>
                <w:sz w:val="22"/>
                <w:szCs w:val="18"/>
                <w:highlight w:val="none"/>
                <w:lang w:eastAsia="zh-CN"/>
              </w:rPr>
              <w:t>市商务局、</w:t>
            </w:r>
            <w:r>
              <w:rPr>
                <w:rFonts w:hint="eastAsia" w:ascii="Times New Roman" w:hAnsi="Times New Roman" w:eastAsia="仿宋_GB2312" w:cs="Times New Roman"/>
                <w:color w:val="auto"/>
                <w:spacing w:val="-4"/>
                <w:kern w:val="0"/>
                <w:sz w:val="22"/>
                <w:szCs w:val="18"/>
                <w:highlight w:val="none"/>
                <w:lang w:eastAsia="zh-CN"/>
              </w:rPr>
              <w:t>市</w:t>
            </w:r>
            <w:r>
              <w:rPr>
                <w:rFonts w:hint="default" w:ascii="Times New Roman" w:hAnsi="Times New Roman" w:eastAsia="仿宋_GB2312" w:cs="Times New Roman"/>
                <w:color w:val="auto"/>
                <w:spacing w:val="-4"/>
                <w:kern w:val="0"/>
                <w:sz w:val="22"/>
                <w:szCs w:val="18"/>
                <w:highlight w:val="none"/>
                <w:lang w:eastAsia="zh-CN"/>
              </w:rPr>
              <w:t>卫生健康委、</w:t>
            </w:r>
            <w:r>
              <w:rPr>
                <w:rFonts w:hint="eastAsia" w:ascii="Times New Roman" w:hAnsi="Times New Roman" w:eastAsia="仿宋_GB2312" w:cs="Times New Roman"/>
                <w:color w:val="auto"/>
                <w:spacing w:val="-4"/>
                <w:kern w:val="0"/>
                <w:sz w:val="22"/>
                <w:szCs w:val="18"/>
                <w:highlight w:val="none"/>
                <w:lang w:eastAsia="zh-CN"/>
              </w:rPr>
              <w:t>市</w:t>
            </w:r>
            <w:r>
              <w:rPr>
                <w:rFonts w:hint="default" w:ascii="Times New Roman" w:hAnsi="Times New Roman" w:eastAsia="仿宋_GB2312" w:cs="Times New Roman"/>
                <w:color w:val="auto"/>
                <w:spacing w:val="-4"/>
                <w:kern w:val="0"/>
                <w:sz w:val="22"/>
                <w:szCs w:val="18"/>
                <w:highlight w:val="none"/>
                <w:lang w:eastAsia="zh-CN"/>
              </w:rPr>
              <w:t>教育体育局、</w:t>
            </w:r>
            <w:r>
              <w:rPr>
                <w:rFonts w:hint="eastAsia" w:ascii="Times New Roman" w:hAnsi="Times New Roman" w:eastAsia="仿宋_GB2312" w:cs="Times New Roman"/>
                <w:color w:val="auto"/>
                <w:spacing w:val="-4"/>
                <w:kern w:val="0"/>
                <w:sz w:val="22"/>
                <w:szCs w:val="18"/>
                <w:highlight w:val="none"/>
                <w:lang w:eastAsia="zh-CN"/>
              </w:rPr>
              <w:t>市</w:t>
            </w:r>
            <w:r>
              <w:rPr>
                <w:rFonts w:hint="default" w:ascii="Times New Roman" w:hAnsi="Times New Roman" w:eastAsia="仿宋_GB2312" w:cs="Times New Roman"/>
                <w:color w:val="auto"/>
                <w:spacing w:val="-4"/>
                <w:kern w:val="0"/>
                <w:sz w:val="22"/>
                <w:szCs w:val="18"/>
                <w:highlight w:val="none"/>
                <w:lang w:eastAsia="zh-CN"/>
              </w:rPr>
              <w:t>投资集团、</w:t>
            </w:r>
            <w:r>
              <w:rPr>
                <w:rFonts w:hint="eastAsia" w:ascii="Times New Roman" w:hAnsi="Times New Roman" w:eastAsia="仿宋_GB2312" w:cs="Times New Roman"/>
                <w:color w:val="auto"/>
                <w:spacing w:val="-4"/>
                <w:kern w:val="0"/>
                <w:sz w:val="22"/>
                <w:szCs w:val="18"/>
                <w:highlight w:val="none"/>
                <w:lang w:eastAsia="zh-CN"/>
              </w:rPr>
              <w:t>周口</w:t>
            </w:r>
            <w:r>
              <w:rPr>
                <w:rFonts w:hint="default" w:ascii="Times New Roman" w:hAnsi="Times New Roman" w:eastAsia="仿宋_GB2312" w:cs="Times New Roman"/>
                <w:color w:val="auto"/>
                <w:spacing w:val="-4"/>
                <w:kern w:val="0"/>
                <w:sz w:val="22"/>
                <w:szCs w:val="18"/>
                <w:highlight w:val="none"/>
              </w:rPr>
              <w:t>供电公司</w:t>
            </w:r>
            <w:r>
              <w:rPr>
                <w:rFonts w:hint="eastAsia" w:ascii="Times New Roman" w:hAnsi="Times New Roman" w:eastAsia="仿宋_GB2312" w:cs="Times New Roman"/>
                <w:color w:val="auto"/>
                <w:spacing w:val="-4"/>
                <w:kern w:val="0"/>
                <w:sz w:val="22"/>
                <w:szCs w:val="18"/>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4" w:type="dxa"/>
            <w:vMerge w:val="continue"/>
            <w:vAlign w:val="center"/>
          </w:tcPr>
          <w:p>
            <w:pPr>
              <w:widowControl w:val="0"/>
              <w:adjustRightInd w:val="0"/>
              <w:snapToGrid w:val="0"/>
              <w:spacing w:line="240" w:lineRule="atLeast"/>
              <w:jc w:val="center"/>
              <w:rPr>
                <w:rFonts w:hint="eastAsia" w:asciiTheme="majorEastAsia" w:hAnsiTheme="majorEastAsia" w:eastAsiaTheme="majorEastAsia" w:cstheme="majorEastAsia"/>
                <w:color w:val="auto"/>
                <w:spacing w:val="-4"/>
                <w:kern w:val="0"/>
                <w:sz w:val="22"/>
                <w:szCs w:val="18"/>
                <w:highlight w:val="none"/>
                <w:lang w:val="en" w:eastAsia="zh-CN"/>
              </w:rPr>
            </w:pPr>
          </w:p>
        </w:tc>
        <w:tc>
          <w:tcPr>
            <w:tcW w:w="959" w:type="dxa"/>
            <w:vMerge w:val="continue"/>
            <w:vAlign w:val="center"/>
          </w:tcPr>
          <w:p>
            <w:pPr>
              <w:widowControl w:val="0"/>
              <w:adjustRightInd w:val="0"/>
              <w:snapToGrid w:val="0"/>
              <w:spacing w:line="240" w:lineRule="atLeast"/>
              <w:jc w:val="center"/>
              <w:rPr>
                <w:rFonts w:hint="default" w:ascii="Times New Roman" w:hAnsi="Times New Roman" w:eastAsia="仿宋_GB2312" w:cs="Times New Roman"/>
                <w:color w:val="auto"/>
                <w:spacing w:val="-4"/>
                <w:kern w:val="0"/>
                <w:sz w:val="22"/>
                <w:szCs w:val="18"/>
                <w:highlight w:val="none"/>
                <w:lang w:val="en" w:eastAsia="zh-CN"/>
              </w:rPr>
            </w:pPr>
          </w:p>
        </w:tc>
        <w:tc>
          <w:tcPr>
            <w:tcW w:w="2476" w:type="dxa"/>
            <w:vAlign w:val="center"/>
          </w:tcPr>
          <w:p>
            <w:pPr>
              <w:widowControl w:val="0"/>
              <w:adjustRightInd w:val="0"/>
              <w:snapToGrid w:val="0"/>
              <w:spacing w:line="240" w:lineRule="atLeast"/>
              <w:ind w:left="0" w:leftChars="0" w:firstLine="0" w:firstLineChars="0"/>
              <w:jc w:val="left"/>
              <w:rPr>
                <w:rFonts w:hint="eastAsia" w:ascii="Times New Roman" w:hAnsi="Times New Roman" w:eastAsia="仿宋_GB2312" w:cs="Times New Roman"/>
                <w:color w:val="auto"/>
                <w:spacing w:val="-4"/>
                <w:kern w:val="0"/>
                <w:sz w:val="22"/>
                <w:szCs w:val="18"/>
                <w:highlight w:val="none"/>
                <w:lang w:val="en" w:eastAsia="zh-CN"/>
              </w:rPr>
            </w:pPr>
            <w:r>
              <w:rPr>
                <w:rFonts w:hint="default" w:ascii="Times New Roman" w:hAnsi="Times New Roman" w:eastAsia="仿宋_GB2312" w:cs="Times New Roman"/>
                <w:color w:val="auto"/>
                <w:kern w:val="0"/>
                <w:sz w:val="22"/>
                <w:szCs w:val="18"/>
                <w:highlight w:val="none"/>
              </w:rPr>
              <w:t>建设城际快速充电网络</w:t>
            </w:r>
            <w:r>
              <w:rPr>
                <w:rFonts w:hint="eastAsia" w:ascii="Times New Roman" w:hAnsi="Times New Roman" w:eastAsia="仿宋_GB2312" w:cs="Times New Roman"/>
                <w:color w:val="auto"/>
                <w:kern w:val="0"/>
                <w:sz w:val="22"/>
                <w:szCs w:val="18"/>
                <w:highlight w:val="none"/>
                <w:lang w:eastAsia="zh-CN"/>
              </w:rPr>
              <w:t>。</w:t>
            </w:r>
          </w:p>
        </w:tc>
        <w:tc>
          <w:tcPr>
            <w:tcW w:w="1935" w:type="dxa"/>
            <w:vAlign w:val="center"/>
          </w:tcPr>
          <w:p>
            <w:pPr>
              <w:widowControl w:val="0"/>
              <w:adjustRightInd w:val="0"/>
              <w:snapToGrid w:val="0"/>
              <w:spacing w:line="240" w:lineRule="atLeast"/>
              <w:ind w:left="0" w:leftChars="0" w:firstLine="0" w:firstLineChars="0"/>
              <w:jc w:val="center"/>
              <w:rPr>
                <w:rFonts w:hint="default" w:ascii="Times New Roman" w:hAnsi="Times New Roman" w:eastAsia="仿宋_GB2312" w:cs="Times New Roman"/>
                <w:color w:val="auto"/>
                <w:spacing w:val="-4"/>
                <w:kern w:val="0"/>
                <w:sz w:val="22"/>
                <w:szCs w:val="18"/>
                <w:highlight w:val="none"/>
                <w:lang w:val="en" w:eastAsia="zh-CN"/>
              </w:rPr>
            </w:pPr>
            <w:r>
              <w:rPr>
                <w:rFonts w:hint="default" w:ascii="Times New Roman" w:hAnsi="Times New Roman" w:eastAsia="仿宋_GB2312" w:cs="Times New Roman"/>
                <w:color w:val="auto"/>
                <w:spacing w:val="-4"/>
                <w:kern w:val="0"/>
                <w:sz w:val="22"/>
                <w:szCs w:val="18"/>
                <w:highlight w:val="none"/>
                <w:lang w:val="en" w:eastAsia="zh-CN"/>
              </w:rPr>
              <w:t>市交通运输局</w:t>
            </w:r>
          </w:p>
        </w:tc>
        <w:tc>
          <w:tcPr>
            <w:tcW w:w="2438" w:type="dxa"/>
            <w:vAlign w:val="center"/>
          </w:tcPr>
          <w:p>
            <w:pPr>
              <w:widowControl w:val="0"/>
              <w:adjustRightInd w:val="0"/>
              <w:snapToGrid w:val="0"/>
              <w:spacing w:line="240" w:lineRule="atLeast"/>
              <w:ind w:left="0" w:leftChars="0" w:firstLine="0" w:firstLineChars="0"/>
              <w:jc w:val="left"/>
              <w:rPr>
                <w:rFonts w:hint="eastAsia" w:ascii="Times New Roman" w:hAnsi="Times New Roman" w:eastAsia="仿宋_GB2312" w:cs="Times New Roman"/>
                <w:color w:val="auto"/>
                <w:spacing w:val="-4"/>
                <w:kern w:val="0"/>
                <w:sz w:val="22"/>
                <w:szCs w:val="18"/>
                <w:highlight w:val="none"/>
                <w:lang w:val="en" w:eastAsia="zh-CN"/>
              </w:rPr>
            </w:pPr>
            <w:r>
              <w:rPr>
                <w:rFonts w:hint="default" w:ascii="Times New Roman" w:hAnsi="Times New Roman" w:eastAsia="仿宋_GB2312" w:cs="Times New Roman"/>
                <w:color w:val="auto"/>
                <w:kern w:val="0"/>
                <w:sz w:val="22"/>
                <w:szCs w:val="18"/>
                <w:highlight w:val="none"/>
              </w:rPr>
              <w:t>市</w:t>
            </w:r>
            <w:r>
              <w:rPr>
                <w:rFonts w:hint="default" w:ascii="Times New Roman" w:hAnsi="Times New Roman" w:eastAsia="仿宋_GB2312" w:cs="Times New Roman"/>
                <w:color w:val="auto"/>
                <w:kern w:val="0"/>
                <w:sz w:val="22"/>
                <w:szCs w:val="18"/>
                <w:highlight w:val="none"/>
                <w:lang w:eastAsia="zh-CN"/>
              </w:rPr>
              <w:t>自然</w:t>
            </w:r>
            <w:r>
              <w:rPr>
                <w:rFonts w:hint="default" w:ascii="Times New Roman" w:hAnsi="Times New Roman" w:eastAsia="仿宋_GB2312" w:cs="Times New Roman"/>
                <w:color w:val="auto"/>
                <w:kern w:val="0"/>
                <w:sz w:val="22"/>
                <w:szCs w:val="18"/>
                <w:highlight w:val="none"/>
              </w:rPr>
              <w:t>资源</w:t>
            </w:r>
            <w:r>
              <w:rPr>
                <w:rFonts w:hint="eastAsia" w:ascii="Times New Roman" w:hAnsi="Times New Roman" w:eastAsia="仿宋_GB2312" w:cs="Times New Roman"/>
                <w:color w:val="auto"/>
                <w:kern w:val="0"/>
                <w:sz w:val="22"/>
                <w:szCs w:val="18"/>
                <w:highlight w:val="none"/>
                <w:lang w:eastAsia="zh-CN"/>
              </w:rPr>
              <w:t>和</w:t>
            </w:r>
            <w:r>
              <w:rPr>
                <w:rFonts w:hint="default" w:ascii="Times New Roman" w:hAnsi="Times New Roman" w:eastAsia="仿宋_GB2312" w:cs="Times New Roman"/>
                <w:color w:val="auto"/>
                <w:kern w:val="0"/>
                <w:sz w:val="22"/>
                <w:szCs w:val="18"/>
                <w:highlight w:val="none"/>
                <w:lang w:eastAsia="zh-CN"/>
              </w:rPr>
              <w:t>规划</w:t>
            </w:r>
            <w:r>
              <w:rPr>
                <w:rFonts w:hint="default" w:ascii="Times New Roman" w:hAnsi="Times New Roman" w:eastAsia="仿宋_GB2312" w:cs="Times New Roman"/>
                <w:color w:val="auto"/>
                <w:kern w:val="0"/>
                <w:sz w:val="22"/>
                <w:szCs w:val="18"/>
                <w:highlight w:val="none"/>
              </w:rPr>
              <w:t>局、</w:t>
            </w:r>
            <w:r>
              <w:rPr>
                <w:rFonts w:hint="eastAsia" w:ascii="Times New Roman" w:hAnsi="Times New Roman" w:eastAsia="仿宋_GB2312" w:cs="Times New Roman"/>
                <w:color w:val="auto"/>
                <w:kern w:val="0"/>
                <w:sz w:val="22"/>
                <w:szCs w:val="18"/>
                <w:highlight w:val="none"/>
                <w:lang w:eastAsia="zh-CN"/>
              </w:rPr>
              <w:t>市</w:t>
            </w:r>
            <w:r>
              <w:rPr>
                <w:rFonts w:hint="default" w:ascii="Times New Roman" w:hAnsi="Times New Roman" w:eastAsia="仿宋_GB2312" w:cs="Times New Roman"/>
                <w:color w:val="auto"/>
                <w:spacing w:val="-4"/>
                <w:kern w:val="0"/>
                <w:sz w:val="22"/>
                <w:szCs w:val="18"/>
                <w:highlight w:val="none"/>
                <w:lang w:eastAsia="zh-CN"/>
              </w:rPr>
              <w:t>投资集团、</w:t>
            </w:r>
            <w:r>
              <w:rPr>
                <w:rFonts w:hint="eastAsia" w:ascii="Times New Roman" w:hAnsi="Times New Roman" w:eastAsia="仿宋_GB2312" w:cs="Times New Roman"/>
                <w:color w:val="auto"/>
                <w:spacing w:val="-4"/>
                <w:kern w:val="0"/>
                <w:sz w:val="22"/>
                <w:szCs w:val="18"/>
                <w:highlight w:val="none"/>
                <w:lang w:eastAsia="zh-CN"/>
              </w:rPr>
              <w:t>周口</w:t>
            </w:r>
            <w:r>
              <w:rPr>
                <w:rFonts w:hint="default" w:ascii="Times New Roman" w:hAnsi="Times New Roman" w:eastAsia="仿宋_GB2312" w:cs="Times New Roman"/>
                <w:color w:val="auto"/>
                <w:kern w:val="0"/>
                <w:sz w:val="22"/>
                <w:szCs w:val="18"/>
                <w:highlight w:val="none"/>
              </w:rPr>
              <w:t>供电公司</w:t>
            </w:r>
            <w:r>
              <w:rPr>
                <w:rFonts w:hint="eastAsia" w:ascii="Times New Roman" w:hAnsi="Times New Roman" w:eastAsia="仿宋_GB2312" w:cs="Times New Roman"/>
                <w:color w:val="auto"/>
                <w:kern w:val="0"/>
                <w:sz w:val="22"/>
                <w:szCs w:val="18"/>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8" w:hRule="atLeast"/>
        </w:trPr>
        <w:tc>
          <w:tcPr>
            <w:tcW w:w="714" w:type="dxa"/>
            <w:vMerge w:val="restart"/>
            <w:vAlign w:val="center"/>
          </w:tcPr>
          <w:p>
            <w:pPr>
              <w:widowControl w:val="0"/>
              <w:adjustRightInd w:val="0"/>
              <w:snapToGrid w:val="0"/>
              <w:spacing w:line="240" w:lineRule="atLeast"/>
              <w:ind w:left="0" w:leftChars="0" w:firstLine="0" w:firstLineChars="0"/>
              <w:jc w:val="center"/>
              <w:rPr>
                <w:rFonts w:hint="eastAsia" w:asciiTheme="majorEastAsia" w:hAnsiTheme="majorEastAsia" w:eastAsiaTheme="majorEastAsia" w:cstheme="majorEastAsia"/>
                <w:color w:val="auto"/>
                <w:spacing w:val="-4"/>
                <w:kern w:val="0"/>
                <w:sz w:val="22"/>
                <w:szCs w:val="18"/>
                <w:highlight w:val="none"/>
                <w:lang w:val="en-US" w:eastAsia="zh-CN"/>
              </w:rPr>
            </w:pPr>
            <w:r>
              <w:rPr>
                <w:rFonts w:hint="eastAsia" w:asciiTheme="majorEastAsia" w:hAnsiTheme="majorEastAsia" w:eastAsiaTheme="majorEastAsia" w:cstheme="majorEastAsia"/>
                <w:color w:val="auto"/>
                <w:spacing w:val="-4"/>
                <w:kern w:val="0"/>
                <w:sz w:val="22"/>
                <w:szCs w:val="18"/>
                <w:highlight w:val="none"/>
                <w:lang w:val="en-US" w:eastAsia="zh-CN"/>
              </w:rPr>
              <w:t>4</w:t>
            </w:r>
          </w:p>
        </w:tc>
        <w:tc>
          <w:tcPr>
            <w:tcW w:w="959" w:type="dxa"/>
            <w:vMerge w:val="restart"/>
            <w:vAlign w:val="center"/>
          </w:tcPr>
          <w:p>
            <w:pPr>
              <w:widowControl w:val="0"/>
              <w:adjustRightInd w:val="0"/>
              <w:snapToGrid w:val="0"/>
              <w:spacing w:line="240" w:lineRule="atLeast"/>
              <w:ind w:left="0" w:leftChars="0" w:firstLine="0" w:firstLineChars="0"/>
              <w:jc w:val="left"/>
              <w:rPr>
                <w:rFonts w:hint="eastAsia" w:ascii="Times New Roman" w:hAnsi="Times New Roman" w:eastAsia="仿宋_GB2312" w:cs="Times New Roman"/>
                <w:color w:val="auto"/>
                <w:spacing w:val="-4"/>
                <w:kern w:val="0"/>
                <w:sz w:val="22"/>
                <w:szCs w:val="18"/>
                <w:highlight w:val="none"/>
                <w:lang w:val="en" w:eastAsia="zh-CN"/>
              </w:rPr>
            </w:pPr>
            <w:r>
              <w:rPr>
                <w:rFonts w:hint="default" w:ascii="Times New Roman" w:hAnsi="Times New Roman" w:eastAsia="仿宋_GB2312" w:cs="Times New Roman"/>
                <w:color w:val="auto"/>
                <w:spacing w:val="-4"/>
                <w:kern w:val="0"/>
                <w:sz w:val="22"/>
                <w:szCs w:val="18"/>
                <w:highlight w:val="none"/>
              </w:rPr>
              <w:t>推进</w:t>
            </w:r>
            <w:r>
              <w:rPr>
                <w:rFonts w:hint="default" w:ascii="Times New Roman" w:hAnsi="Times New Roman" w:eastAsia="仿宋_GB2312" w:cs="Times New Roman"/>
                <w:color w:val="auto"/>
                <w:spacing w:val="-4"/>
                <w:kern w:val="0"/>
                <w:sz w:val="22"/>
                <w:szCs w:val="18"/>
                <w:highlight w:val="none"/>
                <w:lang w:eastAsia="zh-CN"/>
              </w:rPr>
              <w:t>专</w:t>
            </w:r>
            <w:r>
              <w:rPr>
                <w:rFonts w:hint="default" w:ascii="Times New Roman" w:hAnsi="Times New Roman" w:eastAsia="仿宋_GB2312" w:cs="Times New Roman"/>
                <w:color w:val="auto"/>
                <w:spacing w:val="-4"/>
                <w:kern w:val="0"/>
                <w:sz w:val="22"/>
                <w:szCs w:val="18"/>
                <w:highlight w:val="none"/>
              </w:rPr>
              <w:t>用充电设施发展</w:t>
            </w:r>
            <w:r>
              <w:rPr>
                <w:rFonts w:hint="eastAsia" w:ascii="Times New Roman" w:hAnsi="Times New Roman" w:eastAsia="仿宋_GB2312" w:cs="Times New Roman"/>
                <w:color w:val="auto"/>
                <w:spacing w:val="-4"/>
                <w:kern w:val="0"/>
                <w:sz w:val="22"/>
                <w:szCs w:val="18"/>
                <w:highlight w:val="none"/>
                <w:lang w:eastAsia="zh-CN"/>
              </w:rPr>
              <w:t>。</w:t>
            </w:r>
          </w:p>
        </w:tc>
        <w:tc>
          <w:tcPr>
            <w:tcW w:w="2476" w:type="dxa"/>
            <w:vAlign w:val="center"/>
          </w:tcPr>
          <w:p>
            <w:pPr>
              <w:keepNext w:val="0"/>
              <w:keepLines w:val="0"/>
              <w:pageBreakBefore w:val="0"/>
              <w:widowControl w:val="0"/>
              <w:kinsoku/>
              <w:wordWrap/>
              <w:overflowPunct/>
              <w:topLinePunct w:val="0"/>
              <w:autoSpaceDE/>
              <w:autoSpaceDN/>
              <w:bidi w:val="0"/>
              <w:adjustRightInd w:val="0"/>
              <w:snapToGrid w:val="0"/>
              <w:spacing w:line="240" w:lineRule="atLeast"/>
              <w:ind w:left="0" w:leftChars="0" w:firstLine="0" w:firstLineChars="0"/>
              <w:jc w:val="both"/>
              <w:textAlignment w:val="auto"/>
              <w:rPr>
                <w:rFonts w:hint="default" w:ascii="Times New Roman" w:hAnsi="Times New Roman" w:eastAsia="仿宋_GB2312" w:cs="Times New Roman"/>
                <w:color w:val="auto"/>
                <w:kern w:val="0"/>
                <w:sz w:val="22"/>
                <w:szCs w:val="18"/>
                <w:highlight w:val="none"/>
                <w:lang w:val="en-US" w:eastAsia="zh-CN" w:bidi="ar-SA"/>
              </w:rPr>
            </w:pPr>
            <w:r>
              <w:rPr>
                <w:rFonts w:hint="default" w:ascii="Times New Roman" w:hAnsi="Times New Roman" w:eastAsia="仿宋_GB2312" w:cs="Times New Roman"/>
                <w:color w:val="auto"/>
                <w:kern w:val="0"/>
                <w:sz w:val="22"/>
                <w:szCs w:val="18"/>
                <w:highlight w:val="none"/>
              </w:rPr>
              <w:t>推进电动公交车、专用充电基础设施建设，做好公交停车场站新建和改扩建的规划建设工作。</w:t>
            </w:r>
          </w:p>
        </w:tc>
        <w:tc>
          <w:tcPr>
            <w:tcW w:w="1935" w:type="dxa"/>
            <w:vAlign w:val="center"/>
          </w:tcPr>
          <w:p>
            <w:pPr>
              <w:widowControl w:val="0"/>
              <w:adjustRightInd w:val="0"/>
              <w:snapToGrid w:val="0"/>
              <w:spacing w:line="240" w:lineRule="atLeast"/>
              <w:ind w:left="0" w:leftChars="0" w:firstLine="0" w:firstLineChars="0"/>
              <w:jc w:val="center"/>
              <w:rPr>
                <w:rFonts w:hint="default" w:ascii="Times New Roman" w:hAnsi="Times New Roman" w:eastAsia="仿宋_GB2312" w:cs="Times New Roman"/>
                <w:color w:val="auto"/>
                <w:kern w:val="0"/>
                <w:sz w:val="22"/>
                <w:szCs w:val="18"/>
                <w:highlight w:val="none"/>
                <w:lang w:val="en" w:eastAsia="zh-CN"/>
              </w:rPr>
            </w:pPr>
            <w:r>
              <w:rPr>
                <w:rFonts w:hint="default" w:ascii="Times New Roman" w:hAnsi="Times New Roman" w:eastAsia="仿宋_GB2312" w:cs="Times New Roman"/>
                <w:color w:val="auto"/>
                <w:kern w:val="0"/>
                <w:sz w:val="22"/>
                <w:szCs w:val="18"/>
                <w:highlight w:val="none"/>
              </w:rPr>
              <w:t>市交通</w:t>
            </w:r>
            <w:r>
              <w:rPr>
                <w:rFonts w:hint="default" w:ascii="Times New Roman" w:hAnsi="Times New Roman" w:eastAsia="仿宋_GB2312" w:cs="Times New Roman"/>
                <w:color w:val="auto"/>
                <w:kern w:val="0"/>
                <w:sz w:val="22"/>
                <w:szCs w:val="18"/>
                <w:highlight w:val="none"/>
                <w:lang w:eastAsia="zh-CN"/>
              </w:rPr>
              <w:t>运输局</w:t>
            </w:r>
          </w:p>
        </w:tc>
        <w:tc>
          <w:tcPr>
            <w:tcW w:w="2438" w:type="dxa"/>
            <w:vAlign w:val="center"/>
          </w:tcPr>
          <w:p>
            <w:pPr>
              <w:widowControl w:val="0"/>
              <w:adjustRightInd w:val="0"/>
              <w:snapToGrid w:val="0"/>
              <w:spacing w:line="240" w:lineRule="atLeast"/>
              <w:ind w:left="0" w:leftChars="0" w:firstLine="0" w:firstLineChars="0"/>
              <w:jc w:val="left"/>
              <w:rPr>
                <w:rFonts w:hint="eastAsia" w:ascii="Times New Roman" w:hAnsi="Times New Roman" w:eastAsia="仿宋_GB2312" w:cs="Times New Roman"/>
                <w:color w:val="auto"/>
                <w:kern w:val="0"/>
                <w:sz w:val="22"/>
                <w:szCs w:val="18"/>
                <w:highlight w:val="none"/>
                <w:lang w:val="en-US" w:eastAsia="zh-CN"/>
              </w:rPr>
            </w:pPr>
            <w:r>
              <w:rPr>
                <w:rFonts w:hint="default" w:ascii="Times New Roman" w:hAnsi="Times New Roman" w:eastAsia="仿宋_GB2312" w:cs="Times New Roman"/>
                <w:color w:val="auto"/>
                <w:kern w:val="0"/>
                <w:sz w:val="22"/>
                <w:szCs w:val="18"/>
                <w:highlight w:val="none"/>
              </w:rPr>
              <w:t>市</w:t>
            </w:r>
            <w:r>
              <w:rPr>
                <w:rFonts w:hint="default" w:ascii="Times New Roman" w:hAnsi="Times New Roman" w:eastAsia="仿宋_GB2312" w:cs="Times New Roman"/>
                <w:color w:val="auto"/>
                <w:kern w:val="0"/>
                <w:sz w:val="22"/>
                <w:szCs w:val="18"/>
                <w:highlight w:val="none"/>
                <w:lang w:eastAsia="zh-CN"/>
              </w:rPr>
              <w:t>自然资源</w:t>
            </w:r>
            <w:r>
              <w:rPr>
                <w:rFonts w:hint="eastAsia" w:ascii="Times New Roman" w:hAnsi="Times New Roman" w:eastAsia="仿宋_GB2312" w:cs="Times New Roman"/>
                <w:color w:val="auto"/>
                <w:kern w:val="0"/>
                <w:sz w:val="22"/>
                <w:szCs w:val="18"/>
                <w:highlight w:val="none"/>
                <w:lang w:eastAsia="zh-CN"/>
              </w:rPr>
              <w:t>和</w:t>
            </w:r>
            <w:r>
              <w:rPr>
                <w:rFonts w:hint="default" w:ascii="Times New Roman" w:hAnsi="Times New Roman" w:eastAsia="仿宋_GB2312" w:cs="Times New Roman"/>
                <w:color w:val="auto"/>
                <w:kern w:val="0"/>
                <w:sz w:val="22"/>
                <w:szCs w:val="18"/>
                <w:highlight w:val="none"/>
              </w:rPr>
              <w:t>规划局、</w:t>
            </w:r>
            <w:r>
              <w:rPr>
                <w:rFonts w:hint="eastAsia" w:ascii="Times New Roman" w:hAnsi="Times New Roman" w:eastAsia="仿宋_GB2312" w:cs="Times New Roman"/>
                <w:color w:val="auto"/>
                <w:kern w:val="0"/>
                <w:sz w:val="22"/>
                <w:szCs w:val="18"/>
                <w:highlight w:val="none"/>
                <w:lang w:eastAsia="zh-CN"/>
              </w:rPr>
              <w:t>市</w:t>
            </w:r>
            <w:r>
              <w:rPr>
                <w:rFonts w:hint="default" w:ascii="Times New Roman" w:hAnsi="Times New Roman" w:eastAsia="仿宋_GB2312" w:cs="Times New Roman"/>
                <w:color w:val="auto"/>
                <w:kern w:val="0"/>
                <w:sz w:val="22"/>
                <w:szCs w:val="18"/>
                <w:highlight w:val="none"/>
                <w:lang w:eastAsia="zh-CN"/>
              </w:rPr>
              <w:t>发展改革委、</w:t>
            </w:r>
            <w:r>
              <w:rPr>
                <w:rFonts w:hint="eastAsia" w:ascii="Times New Roman" w:hAnsi="Times New Roman" w:eastAsia="仿宋_GB2312" w:cs="Times New Roman"/>
                <w:color w:val="auto"/>
                <w:kern w:val="0"/>
                <w:sz w:val="22"/>
                <w:szCs w:val="18"/>
                <w:highlight w:val="none"/>
                <w:lang w:eastAsia="zh-CN"/>
              </w:rPr>
              <w:t>市</w:t>
            </w:r>
            <w:r>
              <w:rPr>
                <w:rFonts w:hint="default" w:ascii="Times New Roman" w:hAnsi="Times New Roman" w:eastAsia="仿宋_GB2312" w:cs="Times New Roman"/>
                <w:color w:val="auto"/>
                <w:spacing w:val="-4"/>
                <w:kern w:val="0"/>
                <w:sz w:val="22"/>
                <w:szCs w:val="18"/>
                <w:highlight w:val="none"/>
                <w:lang w:eastAsia="zh-CN"/>
              </w:rPr>
              <w:t>投资集团、</w:t>
            </w:r>
            <w:r>
              <w:rPr>
                <w:rFonts w:hint="eastAsia" w:ascii="Times New Roman" w:hAnsi="Times New Roman" w:eastAsia="仿宋_GB2312" w:cs="Times New Roman"/>
                <w:color w:val="auto"/>
                <w:spacing w:val="-4"/>
                <w:kern w:val="0"/>
                <w:sz w:val="22"/>
                <w:szCs w:val="18"/>
                <w:highlight w:val="none"/>
                <w:lang w:eastAsia="zh-CN"/>
              </w:rPr>
              <w:t>周口</w:t>
            </w:r>
            <w:r>
              <w:rPr>
                <w:rFonts w:hint="default" w:ascii="Times New Roman" w:hAnsi="Times New Roman" w:eastAsia="仿宋_GB2312" w:cs="Times New Roman"/>
                <w:color w:val="auto"/>
                <w:kern w:val="0"/>
                <w:sz w:val="22"/>
                <w:szCs w:val="18"/>
                <w:highlight w:val="none"/>
              </w:rPr>
              <w:t>供电公司</w:t>
            </w:r>
            <w:r>
              <w:rPr>
                <w:rFonts w:hint="eastAsia" w:ascii="Times New Roman" w:hAnsi="Times New Roman" w:eastAsia="仿宋_GB2312" w:cs="Times New Roman"/>
                <w:color w:val="auto"/>
                <w:kern w:val="0"/>
                <w:sz w:val="22"/>
                <w:szCs w:val="18"/>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atLeast"/>
        </w:trPr>
        <w:tc>
          <w:tcPr>
            <w:tcW w:w="714" w:type="dxa"/>
            <w:vMerge w:val="continue"/>
            <w:vAlign w:val="center"/>
          </w:tcPr>
          <w:p>
            <w:pPr>
              <w:widowControl w:val="0"/>
              <w:adjustRightInd w:val="0"/>
              <w:snapToGrid w:val="0"/>
              <w:spacing w:line="240" w:lineRule="atLeast"/>
              <w:jc w:val="center"/>
              <w:rPr>
                <w:rFonts w:hint="eastAsia" w:asciiTheme="majorEastAsia" w:hAnsiTheme="majorEastAsia" w:eastAsiaTheme="majorEastAsia" w:cstheme="majorEastAsia"/>
                <w:color w:val="auto"/>
                <w:spacing w:val="-4"/>
                <w:kern w:val="0"/>
                <w:sz w:val="22"/>
                <w:szCs w:val="18"/>
                <w:highlight w:val="none"/>
                <w:lang w:val="en" w:eastAsia="zh-CN"/>
              </w:rPr>
            </w:pPr>
          </w:p>
        </w:tc>
        <w:tc>
          <w:tcPr>
            <w:tcW w:w="959" w:type="dxa"/>
            <w:vMerge w:val="continue"/>
            <w:vAlign w:val="center"/>
          </w:tcPr>
          <w:p>
            <w:pPr>
              <w:widowControl w:val="0"/>
              <w:adjustRightInd w:val="0"/>
              <w:snapToGrid w:val="0"/>
              <w:spacing w:line="240" w:lineRule="atLeast"/>
              <w:jc w:val="center"/>
              <w:rPr>
                <w:rFonts w:hint="default" w:ascii="Times New Roman" w:hAnsi="Times New Roman" w:eastAsia="仿宋_GB2312" w:cs="Times New Roman"/>
                <w:color w:val="auto"/>
                <w:spacing w:val="-4"/>
                <w:kern w:val="0"/>
                <w:sz w:val="22"/>
                <w:szCs w:val="18"/>
                <w:highlight w:val="none"/>
                <w:lang w:val="en" w:eastAsia="zh-CN"/>
              </w:rPr>
            </w:pPr>
          </w:p>
        </w:tc>
        <w:tc>
          <w:tcPr>
            <w:tcW w:w="2476" w:type="dxa"/>
            <w:vAlign w:val="center"/>
          </w:tcPr>
          <w:p>
            <w:pPr>
              <w:keepNext w:val="0"/>
              <w:keepLines w:val="0"/>
              <w:pageBreakBefore w:val="0"/>
              <w:widowControl w:val="0"/>
              <w:kinsoku/>
              <w:wordWrap/>
              <w:overflowPunct/>
              <w:topLinePunct w:val="0"/>
              <w:autoSpaceDE/>
              <w:autoSpaceDN/>
              <w:bidi w:val="0"/>
              <w:adjustRightInd w:val="0"/>
              <w:snapToGrid w:val="0"/>
              <w:spacing w:line="240" w:lineRule="atLeast"/>
              <w:ind w:left="0" w:leftChars="0" w:firstLine="0" w:firstLineChars="0"/>
              <w:jc w:val="both"/>
              <w:textAlignment w:val="auto"/>
              <w:rPr>
                <w:rFonts w:hint="default" w:ascii="Times New Roman" w:hAnsi="Times New Roman" w:eastAsia="仿宋_GB2312" w:cs="Times New Roman"/>
                <w:color w:val="auto"/>
                <w:kern w:val="0"/>
                <w:sz w:val="22"/>
                <w:szCs w:val="18"/>
                <w:highlight w:val="none"/>
                <w:lang w:val="en-US" w:eastAsia="zh-CN" w:bidi="ar-SA"/>
              </w:rPr>
            </w:pPr>
            <w:r>
              <w:rPr>
                <w:rFonts w:hint="default" w:ascii="Times New Roman" w:hAnsi="Times New Roman" w:eastAsia="仿宋_GB2312" w:cs="Times New Roman"/>
                <w:color w:val="auto"/>
                <w:kern w:val="0"/>
                <w:sz w:val="22"/>
                <w:szCs w:val="18"/>
                <w:highlight w:val="none"/>
              </w:rPr>
              <w:t>推进物流、租赁等领域专用充电设施建设。</w:t>
            </w:r>
          </w:p>
        </w:tc>
        <w:tc>
          <w:tcPr>
            <w:tcW w:w="1935" w:type="dxa"/>
            <w:vAlign w:val="center"/>
          </w:tcPr>
          <w:p>
            <w:pPr>
              <w:widowControl w:val="0"/>
              <w:adjustRightInd w:val="0"/>
              <w:snapToGrid w:val="0"/>
              <w:spacing w:line="240" w:lineRule="atLeast"/>
              <w:ind w:left="0" w:leftChars="0" w:firstLine="0" w:firstLineChars="0"/>
              <w:jc w:val="center"/>
              <w:rPr>
                <w:rFonts w:hint="default" w:ascii="Times New Roman" w:hAnsi="Times New Roman" w:eastAsia="仿宋_GB2312" w:cs="Times New Roman"/>
                <w:color w:val="auto"/>
                <w:kern w:val="0"/>
                <w:sz w:val="22"/>
                <w:szCs w:val="18"/>
                <w:highlight w:val="none"/>
                <w:lang w:val="en" w:eastAsia="zh-CN"/>
              </w:rPr>
            </w:pPr>
            <w:r>
              <w:rPr>
                <w:rFonts w:hint="default" w:ascii="Times New Roman" w:hAnsi="Times New Roman" w:eastAsia="仿宋_GB2312" w:cs="Times New Roman"/>
                <w:color w:val="auto"/>
                <w:kern w:val="0"/>
                <w:sz w:val="22"/>
                <w:szCs w:val="18"/>
                <w:highlight w:val="none"/>
              </w:rPr>
              <w:t>市交通</w:t>
            </w:r>
            <w:r>
              <w:rPr>
                <w:rFonts w:hint="default" w:ascii="Times New Roman" w:hAnsi="Times New Roman" w:eastAsia="仿宋_GB2312" w:cs="Times New Roman"/>
                <w:color w:val="auto"/>
                <w:kern w:val="0"/>
                <w:sz w:val="22"/>
                <w:szCs w:val="18"/>
                <w:highlight w:val="none"/>
                <w:lang w:eastAsia="zh-CN"/>
              </w:rPr>
              <w:t>运输局</w:t>
            </w:r>
          </w:p>
        </w:tc>
        <w:tc>
          <w:tcPr>
            <w:tcW w:w="2438" w:type="dxa"/>
            <w:vAlign w:val="center"/>
          </w:tcPr>
          <w:p>
            <w:pPr>
              <w:widowControl w:val="0"/>
              <w:adjustRightInd w:val="0"/>
              <w:snapToGrid w:val="0"/>
              <w:spacing w:line="240" w:lineRule="atLeast"/>
              <w:ind w:left="0" w:leftChars="0" w:firstLine="0" w:firstLineChars="0"/>
              <w:jc w:val="left"/>
              <w:rPr>
                <w:rFonts w:hint="eastAsia" w:ascii="Times New Roman" w:hAnsi="Times New Roman" w:eastAsia="仿宋_GB2312" w:cs="Times New Roman"/>
                <w:color w:val="auto"/>
                <w:kern w:val="0"/>
                <w:sz w:val="22"/>
                <w:szCs w:val="18"/>
                <w:highlight w:val="none"/>
                <w:lang w:val="en-US" w:eastAsia="zh-CN"/>
              </w:rPr>
            </w:pPr>
            <w:r>
              <w:rPr>
                <w:rFonts w:hint="default" w:ascii="Times New Roman" w:hAnsi="Times New Roman" w:eastAsia="仿宋_GB2312" w:cs="Times New Roman"/>
                <w:color w:val="auto"/>
                <w:kern w:val="0"/>
                <w:sz w:val="22"/>
                <w:szCs w:val="18"/>
                <w:highlight w:val="none"/>
              </w:rPr>
              <w:t>市</w:t>
            </w:r>
            <w:r>
              <w:rPr>
                <w:rFonts w:hint="default" w:ascii="Times New Roman" w:hAnsi="Times New Roman" w:eastAsia="仿宋_GB2312" w:cs="Times New Roman"/>
                <w:color w:val="auto"/>
                <w:kern w:val="0"/>
                <w:sz w:val="22"/>
                <w:szCs w:val="18"/>
                <w:highlight w:val="none"/>
                <w:lang w:eastAsia="zh-CN"/>
              </w:rPr>
              <w:t>自然资源</w:t>
            </w:r>
            <w:r>
              <w:rPr>
                <w:rFonts w:hint="eastAsia" w:ascii="Times New Roman" w:hAnsi="Times New Roman" w:eastAsia="仿宋_GB2312" w:cs="Times New Roman"/>
                <w:color w:val="auto"/>
                <w:kern w:val="0"/>
                <w:sz w:val="22"/>
                <w:szCs w:val="18"/>
                <w:highlight w:val="none"/>
                <w:lang w:eastAsia="zh-CN"/>
              </w:rPr>
              <w:t>和</w:t>
            </w:r>
            <w:r>
              <w:rPr>
                <w:rFonts w:hint="default" w:ascii="Times New Roman" w:hAnsi="Times New Roman" w:eastAsia="仿宋_GB2312" w:cs="Times New Roman"/>
                <w:color w:val="auto"/>
                <w:kern w:val="0"/>
                <w:sz w:val="22"/>
                <w:szCs w:val="18"/>
                <w:highlight w:val="none"/>
              </w:rPr>
              <w:t>规划局</w:t>
            </w:r>
            <w:r>
              <w:rPr>
                <w:rFonts w:hint="default" w:ascii="Times New Roman" w:hAnsi="Times New Roman" w:eastAsia="仿宋_GB2312" w:cs="Times New Roman"/>
                <w:color w:val="auto"/>
                <w:kern w:val="0"/>
                <w:sz w:val="22"/>
                <w:szCs w:val="18"/>
                <w:highlight w:val="none"/>
                <w:lang w:eastAsia="zh-CN"/>
              </w:rPr>
              <w:t>、</w:t>
            </w:r>
            <w:r>
              <w:rPr>
                <w:rFonts w:hint="eastAsia" w:ascii="Times New Roman" w:hAnsi="Times New Roman" w:eastAsia="仿宋_GB2312" w:cs="Times New Roman"/>
                <w:color w:val="auto"/>
                <w:kern w:val="0"/>
                <w:sz w:val="22"/>
                <w:szCs w:val="18"/>
                <w:highlight w:val="none"/>
                <w:lang w:eastAsia="zh-CN"/>
              </w:rPr>
              <w:t>市</w:t>
            </w:r>
            <w:r>
              <w:rPr>
                <w:rFonts w:hint="default" w:ascii="Times New Roman" w:hAnsi="Times New Roman" w:eastAsia="仿宋_GB2312" w:cs="Times New Roman"/>
                <w:color w:val="auto"/>
                <w:spacing w:val="-4"/>
                <w:kern w:val="0"/>
                <w:sz w:val="22"/>
                <w:szCs w:val="18"/>
                <w:highlight w:val="none"/>
                <w:lang w:eastAsia="zh-CN"/>
              </w:rPr>
              <w:t>投资集团、</w:t>
            </w:r>
            <w:r>
              <w:rPr>
                <w:rFonts w:hint="eastAsia" w:ascii="Times New Roman" w:hAnsi="Times New Roman" w:eastAsia="仿宋_GB2312" w:cs="Times New Roman"/>
                <w:color w:val="auto"/>
                <w:spacing w:val="-4"/>
                <w:kern w:val="0"/>
                <w:sz w:val="22"/>
                <w:szCs w:val="18"/>
                <w:highlight w:val="none"/>
                <w:lang w:eastAsia="zh-CN"/>
              </w:rPr>
              <w:t>周口</w:t>
            </w:r>
            <w:r>
              <w:rPr>
                <w:rFonts w:hint="default" w:ascii="Times New Roman" w:hAnsi="Times New Roman" w:eastAsia="仿宋_GB2312" w:cs="Times New Roman"/>
                <w:color w:val="auto"/>
                <w:kern w:val="0"/>
                <w:sz w:val="22"/>
                <w:szCs w:val="18"/>
                <w:highlight w:val="none"/>
              </w:rPr>
              <w:t>供电公司</w:t>
            </w:r>
            <w:r>
              <w:rPr>
                <w:rFonts w:hint="eastAsia" w:ascii="Times New Roman" w:hAnsi="Times New Roman" w:eastAsia="仿宋_GB2312" w:cs="Times New Roman"/>
                <w:color w:val="auto"/>
                <w:kern w:val="0"/>
                <w:sz w:val="22"/>
                <w:szCs w:val="18"/>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9" w:hRule="atLeast"/>
        </w:trPr>
        <w:tc>
          <w:tcPr>
            <w:tcW w:w="714" w:type="dxa"/>
            <w:vMerge w:val="continue"/>
            <w:vAlign w:val="center"/>
          </w:tcPr>
          <w:p>
            <w:pPr>
              <w:widowControl w:val="0"/>
              <w:adjustRightInd w:val="0"/>
              <w:snapToGrid w:val="0"/>
              <w:spacing w:line="240" w:lineRule="atLeast"/>
              <w:jc w:val="center"/>
              <w:rPr>
                <w:rFonts w:hint="eastAsia" w:asciiTheme="majorEastAsia" w:hAnsiTheme="majorEastAsia" w:eastAsiaTheme="majorEastAsia" w:cstheme="majorEastAsia"/>
                <w:color w:val="auto"/>
                <w:spacing w:val="-4"/>
                <w:kern w:val="0"/>
                <w:sz w:val="22"/>
                <w:szCs w:val="18"/>
                <w:highlight w:val="none"/>
                <w:lang w:val="en" w:eastAsia="zh-CN"/>
              </w:rPr>
            </w:pPr>
          </w:p>
        </w:tc>
        <w:tc>
          <w:tcPr>
            <w:tcW w:w="959" w:type="dxa"/>
            <w:vMerge w:val="continue"/>
            <w:vAlign w:val="center"/>
          </w:tcPr>
          <w:p>
            <w:pPr>
              <w:widowControl w:val="0"/>
              <w:adjustRightInd w:val="0"/>
              <w:snapToGrid w:val="0"/>
              <w:spacing w:line="240" w:lineRule="atLeast"/>
              <w:jc w:val="center"/>
              <w:rPr>
                <w:rFonts w:hint="default" w:ascii="Times New Roman" w:hAnsi="Times New Roman" w:eastAsia="仿宋_GB2312" w:cs="Times New Roman"/>
                <w:color w:val="auto"/>
                <w:spacing w:val="-4"/>
                <w:kern w:val="0"/>
                <w:sz w:val="22"/>
                <w:szCs w:val="18"/>
                <w:highlight w:val="none"/>
                <w:lang w:val="en" w:eastAsia="zh-CN"/>
              </w:rPr>
            </w:pPr>
          </w:p>
        </w:tc>
        <w:tc>
          <w:tcPr>
            <w:tcW w:w="2476" w:type="dxa"/>
            <w:vAlign w:val="center"/>
          </w:tcPr>
          <w:p>
            <w:pPr>
              <w:keepNext w:val="0"/>
              <w:keepLines w:val="0"/>
              <w:pageBreakBefore w:val="0"/>
              <w:widowControl w:val="0"/>
              <w:kinsoku/>
              <w:wordWrap/>
              <w:overflowPunct/>
              <w:topLinePunct w:val="0"/>
              <w:autoSpaceDE/>
              <w:autoSpaceDN/>
              <w:bidi w:val="0"/>
              <w:adjustRightInd w:val="0"/>
              <w:snapToGrid w:val="0"/>
              <w:spacing w:line="240" w:lineRule="atLeast"/>
              <w:ind w:left="0" w:leftChars="0" w:firstLine="0" w:firstLineChars="0"/>
              <w:jc w:val="both"/>
              <w:textAlignment w:val="auto"/>
              <w:rPr>
                <w:rFonts w:hint="default" w:ascii="Times New Roman" w:hAnsi="Times New Roman" w:eastAsia="仿宋_GB2312" w:cs="Times New Roman"/>
                <w:color w:val="auto"/>
                <w:kern w:val="0"/>
                <w:sz w:val="22"/>
                <w:szCs w:val="18"/>
                <w:highlight w:val="none"/>
                <w:lang w:val="en-US" w:eastAsia="zh-CN" w:bidi="ar-SA"/>
              </w:rPr>
            </w:pPr>
            <w:r>
              <w:rPr>
                <w:rFonts w:hint="default" w:ascii="Times New Roman" w:hAnsi="Times New Roman" w:eastAsia="仿宋_GB2312" w:cs="Times New Roman"/>
                <w:color w:val="auto"/>
                <w:kern w:val="0"/>
                <w:sz w:val="22"/>
                <w:szCs w:val="18"/>
                <w:highlight w:val="none"/>
              </w:rPr>
              <w:t>推进环卫等市政领域专用充电设施建设。</w:t>
            </w:r>
          </w:p>
        </w:tc>
        <w:tc>
          <w:tcPr>
            <w:tcW w:w="1935" w:type="dxa"/>
            <w:vAlign w:val="center"/>
          </w:tcPr>
          <w:p>
            <w:pPr>
              <w:widowControl w:val="0"/>
              <w:adjustRightInd w:val="0"/>
              <w:snapToGrid w:val="0"/>
              <w:spacing w:line="240" w:lineRule="atLeast"/>
              <w:ind w:left="0" w:leftChars="0" w:firstLine="0" w:firstLineChars="0"/>
              <w:jc w:val="center"/>
              <w:rPr>
                <w:rFonts w:hint="default" w:ascii="Times New Roman" w:hAnsi="Times New Roman" w:eastAsia="仿宋_GB2312" w:cs="Times New Roman"/>
                <w:color w:val="auto"/>
                <w:kern w:val="0"/>
                <w:sz w:val="22"/>
                <w:szCs w:val="18"/>
                <w:highlight w:val="none"/>
                <w:lang w:val="en" w:eastAsia="zh-CN"/>
              </w:rPr>
            </w:pPr>
            <w:r>
              <w:rPr>
                <w:rFonts w:hint="default" w:ascii="Times New Roman" w:hAnsi="Times New Roman" w:eastAsia="仿宋_GB2312" w:cs="Times New Roman"/>
                <w:color w:val="auto"/>
                <w:kern w:val="0"/>
                <w:sz w:val="22"/>
                <w:szCs w:val="18"/>
                <w:highlight w:val="none"/>
              </w:rPr>
              <w:t>市</w:t>
            </w:r>
            <w:r>
              <w:rPr>
                <w:rFonts w:hint="default" w:ascii="Times New Roman" w:hAnsi="Times New Roman" w:eastAsia="仿宋_GB2312" w:cs="Times New Roman"/>
                <w:color w:val="auto"/>
                <w:kern w:val="0"/>
                <w:sz w:val="22"/>
                <w:szCs w:val="18"/>
                <w:highlight w:val="none"/>
                <w:lang w:eastAsia="zh-CN"/>
              </w:rPr>
              <w:t>城市管理局</w:t>
            </w:r>
          </w:p>
        </w:tc>
        <w:tc>
          <w:tcPr>
            <w:tcW w:w="2438" w:type="dxa"/>
            <w:vAlign w:val="center"/>
          </w:tcPr>
          <w:p>
            <w:pPr>
              <w:widowControl w:val="0"/>
              <w:adjustRightInd w:val="0"/>
              <w:snapToGrid w:val="0"/>
              <w:spacing w:line="240" w:lineRule="atLeast"/>
              <w:ind w:left="0" w:leftChars="0" w:firstLine="0" w:firstLineChars="0"/>
              <w:jc w:val="left"/>
              <w:rPr>
                <w:rFonts w:hint="eastAsia" w:ascii="Times New Roman" w:hAnsi="Times New Roman" w:eastAsia="仿宋_GB2312" w:cs="Times New Roman"/>
                <w:color w:val="auto"/>
                <w:kern w:val="0"/>
                <w:sz w:val="22"/>
                <w:szCs w:val="18"/>
                <w:highlight w:val="none"/>
                <w:lang w:val="en-US" w:eastAsia="zh-CN"/>
              </w:rPr>
            </w:pPr>
            <w:r>
              <w:rPr>
                <w:rFonts w:hint="default" w:ascii="Times New Roman" w:hAnsi="Times New Roman" w:eastAsia="仿宋_GB2312" w:cs="Times New Roman"/>
                <w:color w:val="auto"/>
                <w:spacing w:val="-4"/>
                <w:kern w:val="0"/>
                <w:sz w:val="22"/>
                <w:szCs w:val="18"/>
                <w:highlight w:val="none"/>
                <w:lang w:eastAsia="zh-CN"/>
              </w:rPr>
              <w:t>市投资集团、</w:t>
            </w:r>
            <w:r>
              <w:rPr>
                <w:rFonts w:hint="eastAsia" w:ascii="Times New Roman" w:hAnsi="Times New Roman" w:eastAsia="仿宋_GB2312" w:cs="Times New Roman"/>
                <w:color w:val="auto"/>
                <w:spacing w:val="-4"/>
                <w:kern w:val="0"/>
                <w:sz w:val="22"/>
                <w:szCs w:val="18"/>
                <w:highlight w:val="none"/>
                <w:lang w:eastAsia="zh-CN"/>
              </w:rPr>
              <w:t>周口</w:t>
            </w:r>
            <w:r>
              <w:rPr>
                <w:rFonts w:hint="default" w:ascii="Times New Roman" w:hAnsi="Times New Roman" w:eastAsia="仿宋_GB2312" w:cs="Times New Roman"/>
                <w:color w:val="auto"/>
                <w:kern w:val="0"/>
                <w:sz w:val="22"/>
                <w:szCs w:val="18"/>
                <w:highlight w:val="none"/>
              </w:rPr>
              <w:t>供电公司</w:t>
            </w:r>
            <w:r>
              <w:rPr>
                <w:rFonts w:hint="eastAsia" w:ascii="Times New Roman" w:hAnsi="Times New Roman" w:eastAsia="仿宋_GB2312" w:cs="Times New Roman"/>
                <w:color w:val="auto"/>
                <w:kern w:val="0"/>
                <w:sz w:val="22"/>
                <w:szCs w:val="18"/>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trPr>
        <w:tc>
          <w:tcPr>
            <w:tcW w:w="714" w:type="dxa"/>
            <w:vMerge w:val="continue"/>
            <w:vAlign w:val="center"/>
          </w:tcPr>
          <w:p>
            <w:pPr>
              <w:widowControl w:val="0"/>
              <w:adjustRightInd w:val="0"/>
              <w:snapToGrid w:val="0"/>
              <w:spacing w:line="240" w:lineRule="atLeast"/>
              <w:jc w:val="center"/>
              <w:rPr>
                <w:rFonts w:hint="eastAsia" w:asciiTheme="majorEastAsia" w:hAnsiTheme="majorEastAsia" w:eastAsiaTheme="majorEastAsia" w:cstheme="majorEastAsia"/>
                <w:color w:val="auto"/>
                <w:spacing w:val="-4"/>
                <w:kern w:val="0"/>
                <w:sz w:val="22"/>
                <w:szCs w:val="18"/>
                <w:highlight w:val="none"/>
                <w:lang w:val="en" w:eastAsia="zh-CN"/>
              </w:rPr>
            </w:pPr>
          </w:p>
        </w:tc>
        <w:tc>
          <w:tcPr>
            <w:tcW w:w="959" w:type="dxa"/>
            <w:vMerge w:val="continue"/>
            <w:vAlign w:val="center"/>
          </w:tcPr>
          <w:p>
            <w:pPr>
              <w:widowControl w:val="0"/>
              <w:adjustRightInd w:val="0"/>
              <w:snapToGrid w:val="0"/>
              <w:spacing w:line="240" w:lineRule="atLeast"/>
              <w:jc w:val="center"/>
              <w:rPr>
                <w:rFonts w:hint="eastAsia" w:asciiTheme="majorEastAsia" w:hAnsiTheme="majorEastAsia" w:eastAsiaTheme="majorEastAsia" w:cstheme="majorEastAsia"/>
                <w:color w:val="auto"/>
                <w:spacing w:val="-4"/>
                <w:kern w:val="0"/>
                <w:sz w:val="22"/>
                <w:szCs w:val="18"/>
                <w:highlight w:val="none"/>
                <w:lang w:val="en" w:eastAsia="zh-CN"/>
              </w:rPr>
            </w:pPr>
          </w:p>
        </w:tc>
        <w:tc>
          <w:tcPr>
            <w:tcW w:w="2476" w:type="dxa"/>
            <w:vAlign w:val="center"/>
          </w:tcPr>
          <w:p>
            <w:pPr>
              <w:keepNext w:val="0"/>
              <w:keepLines w:val="0"/>
              <w:pageBreakBefore w:val="0"/>
              <w:widowControl w:val="0"/>
              <w:kinsoku/>
              <w:wordWrap/>
              <w:overflowPunct/>
              <w:topLinePunct w:val="0"/>
              <w:autoSpaceDE/>
              <w:autoSpaceDN/>
              <w:bidi w:val="0"/>
              <w:adjustRightInd w:val="0"/>
              <w:snapToGrid w:val="0"/>
              <w:spacing w:line="240" w:lineRule="atLeast"/>
              <w:ind w:left="0" w:leftChars="0" w:firstLine="0" w:firstLineChars="0"/>
              <w:jc w:val="both"/>
              <w:textAlignment w:val="auto"/>
              <w:rPr>
                <w:rFonts w:hint="eastAsia" w:ascii="Times New Roman" w:hAnsi="Times New Roman" w:eastAsia="仿宋_GB2312" w:cs="Times New Roman"/>
                <w:color w:val="auto"/>
                <w:kern w:val="0"/>
                <w:sz w:val="22"/>
                <w:szCs w:val="18"/>
                <w:highlight w:val="none"/>
                <w:lang w:val="en-US" w:eastAsia="zh-CN"/>
              </w:rPr>
            </w:pPr>
            <w:r>
              <w:rPr>
                <w:rFonts w:hint="eastAsia" w:ascii="Times New Roman" w:hAnsi="Times New Roman" w:eastAsia="仿宋_GB2312" w:cs="Times New Roman"/>
                <w:color w:val="auto"/>
                <w:kern w:val="0"/>
                <w:sz w:val="22"/>
                <w:szCs w:val="18"/>
                <w:highlight w:val="none"/>
              </w:rPr>
              <w:t>推进警务领域专用充电设施发展。</w:t>
            </w:r>
          </w:p>
        </w:tc>
        <w:tc>
          <w:tcPr>
            <w:tcW w:w="1935" w:type="dxa"/>
            <w:vAlign w:val="center"/>
          </w:tcPr>
          <w:p>
            <w:pPr>
              <w:widowControl w:val="0"/>
              <w:adjustRightInd w:val="0"/>
              <w:snapToGrid w:val="0"/>
              <w:spacing w:line="240" w:lineRule="atLeast"/>
              <w:ind w:left="0" w:leftChars="0" w:firstLine="0" w:firstLineChars="0"/>
              <w:jc w:val="center"/>
              <w:rPr>
                <w:rFonts w:hint="eastAsia" w:ascii="Times New Roman" w:hAnsi="Times New Roman" w:eastAsia="仿宋_GB2312" w:cs="Times New Roman"/>
                <w:color w:val="auto"/>
                <w:kern w:val="0"/>
                <w:sz w:val="22"/>
                <w:szCs w:val="18"/>
                <w:highlight w:val="none"/>
                <w:lang w:val="en" w:eastAsia="zh-CN"/>
              </w:rPr>
            </w:pPr>
            <w:r>
              <w:rPr>
                <w:rFonts w:hint="eastAsia" w:ascii="Times New Roman" w:hAnsi="Times New Roman" w:eastAsia="仿宋_GB2312" w:cs="Times New Roman"/>
                <w:color w:val="auto"/>
                <w:kern w:val="0"/>
                <w:sz w:val="22"/>
                <w:szCs w:val="18"/>
                <w:highlight w:val="none"/>
              </w:rPr>
              <w:t>市公安局</w:t>
            </w:r>
          </w:p>
        </w:tc>
        <w:tc>
          <w:tcPr>
            <w:tcW w:w="2438" w:type="dxa"/>
            <w:vAlign w:val="center"/>
          </w:tcPr>
          <w:p>
            <w:pPr>
              <w:widowControl w:val="0"/>
              <w:adjustRightInd w:val="0"/>
              <w:snapToGrid w:val="0"/>
              <w:spacing w:line="240" w:lineRule="atLeast"/>
              <w:ind w:left="0" w:leftChars="0" w:firstLine="0" w:firstLineChars="0"/>
              <w:jc w:val="left"/>
              <w:rPr>
                <w:rFonts w:hint="eastAsia" w:ascii="Times New Roman" w:hAnsi="Times New Roman" w:eastAsia="仿宋_GB2312" w:cs="Times New Roman"/>
                <w:color w:val="auto"/>
                <w:kern w:val="0"/>
                <w:sz w:val="22"/>
                <w:szCs w:val="18"/>
                <w:highlight w:val="none"/>
                <w:lang w:val="en-US" w:eastAsia="zh-CN"/>
              </w:rPr>
            </w:pPr>
            <w:r>
              <w:rPr>
                <w:rFonts w:hint="eastAsia" w:ascii="Times New Roman" w:hAnsi="Times New Roman" w:eastAsia="仿宋_GB2312" w:cs="Times New Roman"/>
                <w:color w:val="auto"/>
                <w:kern w:val="0"/>
                <w:sz w:val="22"/>
                <w:szCs w:val="18"/>
                <w:highlight w:val="none"/>
              </w:rPr>
              <w:t>市机关</w:t>
            </w:r>
            <w:r>
              <w:rPr>
                <w:rFonts w:hint="default" w:ascii="Times New Roman" w:hAnsi="Times New Roman" w:eastAsia="仿宋_GB2312" w:cs="Times New Roman"/>
                <w:color w:val="auto"/>
                <w:kern w:val="0"/>
                <w:sz w:val="22"/>
                <w:szCs w:val="18"/>
                <w:highlight w:val="none"/>
                <w:lang w:val="en"/>
              </w:rPr>
              <w:t>事务</w:t>
            </w:r>
            <w:r>
              <w:rPr>
                <w:rFonts w:hint="eastAsia" w:ascii="Times New Roman" w:hAnsi="Times New Roman" w:eastAsia="仿宋_GB2312" w:cs="Times New Roman"/>
                <w:color w:val="auto"/>
                <w:kern w:val="0"/>
                <w:sz w:val="22"/>
                <w:szCs w:val="18"/>
                <w:highlight w:val="none"/>
                <w:lang w:eastAsia="zh-CN"/>
              </w:rPr>
              <w:t>中心</w:t>
            </w:r>
            <w:r>
              <w:rPr>
                <w:rFonts w:hint="eastAsia" w:ascii="Times New Roman" w:hAnsi="Times New Roman" w:eastAsia="仿宋_GB2312" w:cs="Times New Roman"/>
                <w:color w:val="auto"/>
                <w:kern w:val="0"/>
                <w:sz w:val="22"/>
                <w:szCs w:val="18"/>
                <w:highlight w:val="none"/>
              </w:rPr>
              <w:t>、</w:t>
            </w:r>
            <w:r>
              <w:rPr>
                <w:rFonts w:hint="eastAsia" w:ascii="Times New Roman" w:hAnsi="Times New Roman" w:eastAsia="仿宋_GB2312" w:cs="Times New Roman"/>
                <w:color w:val="auto"/>
                <w:kern w:val="0"/>
                <w:sz w:val="22"/>
                <w:szCs w:val="18"/>
                <w:highlight w:val="none"/>
                <w:lang w:eastAsia="zh-CN"/>
              </w:rPr>
              <w:t>市投资集团、周口供电公司。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2" w:hRule="atLeast"/>
        </w:trPr>
        <w:tc>
          <w:tcPr>
            <w:tcW w:w="714" w:type="dxa"/>
            <w:vAlign w:val="center"/>
          </w:tcPr>
          <w:p>
            <w:pPr>
              <w:widowControl w:val="0"/>
              <w:adjustRightInd w:val="0"/>
              <w:snapToGrid w:val="0"/>
              <w:spacing w:line="240" w:lineRule="atLeast"/>
              <w:ind w:left="0" w:leftChars="0" w:firstLine="0" w:firstLineChars="0"/>
              <w:jc w:val="center"/>
              <w:rPr>
                <w:rFonts w:hint="default" w:ascii="Times New Roman" w:hAnsi="Times New Roman" w:cs="Times New Roman" w:eastAsiaTheme="majorEastAsia"/>
                <w:color w:val="auto"/>
                <w:kern w:val="0"/>
                <w:sz w:val="22"/>
                <w:szCs w:val="18"/>
                <w:highlight w:val="none"/>
                <w:lang w:val="en-US" w:eastAsia="zh-CN"/>
              </w:rPr>
            </w:pPr>
            <w:r>
              <w:rPr>
                <w:rFonts w:hint="default" w:ascii="Times New Roman" w:hAnsi="Times New Roman" w:cs="Times New Roman" w:eastAsiaTheme="majorEastAsia"/>
                <w:color w:val="auto"/>
                <w:kern w:val="0"/>
                <w:sz w:val="22"/>
                <w:szCs w:val="18"/>
                <w:highlight w:val="none"/>
                <w:lang w:val="en-US" w:eastAsia="zh-CN"/>
              </w:rPr>
              <w:t>5</w:t>
            </w:r>
          </w:p>
        </w:tc>
        <w:tc>
          <w:tcPr>
            <w:tcW w:w="959" w:type="dxa"/>
            <w:vAlign w:val="center"/>
          </w:tcPr>
          <w:p>
            <w:pPr>
              <w:keepNext w:val="0"/>
              <w:keepLines w:val="0"/>
              <w:pageBreakBefore w:val="0"/>
              <w:widowControl w:val="0"/>
              <w:kinsoku/>
              <w:wordWrap/>
              <w:overflowPunct/>
              <w:topLinePunct w:val="0"/>
              <w:autoSpaceDE/>
              <w:autoSpaceDN/>
              <w:bidi w:val="0"/>
              <w:adjustRightInd w:val="0"/>
              <w:snapToGrid w:val="0"/>
              <w:spacing w:line="240" w:lineRule="atLeast"/>
              <w:ind w:left="0" w:leftChars="0" w:firstLine="0" w:firstLineChars="0"/>
              <w:jc w:val="both"/>
              <w:textAlignment w:val="auto"/>
              <w:rPr>
                <w:rFonts w:hint="eastAsia" w:ascii="Times New Roman" w:hAnsi="Times New Roman" w:eastAsia="仿宋_GB2312" w:cs="Times New Roman"/>
                <w:color w:val="auto"/>
                <w:kern w:val="0"/>
                <w:sz w:val="22"/>
                <w:szCs w:val="18"/>
                <w:highlight w:val="none"/>
                <w:lang w:val="en" w:eastAsia="zh-CN"/>
              </w:rPr>
            </w:pPr>
            <w:r>
              <w:rPr>
                <w:rFonts w:hint="eastAsia" w:ascii="Times New Roman" w:hAnsi="Times New Roman" w:eastAsia="仿宋_GB2312" w:cs="Times New Roman"/>
                <w:color w:val="auto"/>
                <w:kern w:val="0"/>
                <w:sz w:val="22"/>
                <w:szCs w:val="18"/>
                <w:highlight w:val="none"/>
                <w:lang w:eastAsia="zh-CN"/>
              </w:rPr>
              <w:t>构建充电服务智能平台。</w:t>
            </w:r>
          </w:p>
        </w:tc>
        <w:tc>
          <w:tcPr>
            <w:tcW w:w="2476" w:type="dxa"/>
            <w:vAlign w:val="center"/>
          </w:tcPr>
          <w:p>
            <w:pPr>
              <w:keepNext w:val="0"/>
              <w:keepLines w:val="0"/>
              <w:pageBreakBefore w:val="0"/>
              <w:widowControl w:val="0"/>
              <w:kinsoku/>
              <w:wordWrap/>
              <w:overflowPunct/>
              <w:topLinePunct w:val="0"/>
              <w:autoSpaceDE/>
              <w:autoSpaceDN/>
              <w:bidi w:val="0"/>
              <w:adjustRightInd w:val="0"/>
              <w:snapToGrid w:val="0"/>
              <w:spacing w:line="240" w:lineRule="atLeast"/>
              <w:ind w:left="0" w:leftChars="0" w:firstLine="0" w:firstLineChars="0"/>
              <w:jc w:val="both"/>
              <w:textAlignment w:val="auto"/>
              <w:rPr>
                <w:rFonts w:hint="eastAsia" w:ascii="Times New Roman" w:hAnsi="Times New Roman" w:eastAsia="仿宋_GB2312" w:cs="Times New Roman"/>
                <w:color w:val="auto"/>
                <w:kern w:val="0"/>
                <w:sz w:val="22"/>
                <w:szCs w:val="18"/>
                <w:highlight w:val="none"/>
                <w:lang w:val="en-US" w:eastAsia="zh-CN"/>
              </w:rPr>
            </w:pPr>
            <w:r>
              <w:rPr>
                <w:rFonts w:hint="eastAsia" w:ascii="Times New Roman" w:hAnsi="Times New Roman" w:eastAsia="仿宋_GB2312" w:cs="Times New Roman"/>
                <w:color w:val="auto"/>
                <w:kern w:val="0"/>
                <w:sz w:val="22"/>
                <w:szCs w:val="18"/>
                <w:highlight w:val="none"/>
                <w:lang w:eastAsia="zh-CN"/>
              </w:rPr>
              <w:t>按照公共服务、政务服务和互联互通的要求，建设完善公益性的市级充电设施公共数据采集与监测服务平台。</w:t>
            </w:r>
          </w:p>
        </w:tc>
        <w:tc>
          <w:tcPr>
            <w:tcW w:w="1935" w:type="dxa"/>
            <w:vAlign w:val="center"/>
          </w:tcPr>
          <w:p>
            <w:pPr>
              <w:widowControl w:val="0"/>
              <w:adjustRightInd w:val="0"/>
              <w:snapToGrid w:val="0"/>
              <w:spacing w:line="240" w:lineRule="atLeast"/>
              <w:ind w:left="0" w:leftChars="0" w:firstLine="0" w:firstLineChars="0"/>
              <w:jc w:val="center"/>
              <w:rPr>
                <w:rFonts w:hint="eastAsia" w:ascii="Times New Roman" w:hAnsi="Times New Roman" w:eastAsia="仿宋_GB2312" w:cs="Times New Roman"/>
                <w:color w:val="auto"/>
                <w:kern w:val="0"/>
                <w:sz w:val="22"/>
                <w:szCs w:val="18"/>
                <w:highlight w:val="none"/>
                <w:lang w:val="en-US" w:eastAsia="zh-CN"/>
              </w:rPr>
            </w:pPr>
            <w:r>
              <w:rPr>
                <w:rFonts w:hint="eastAsia" w:ascii="Times New Roman" w:hAnsi="Times New Roman" w:eastAsia="仿宋_GB2312" w:cs="Times New Roman"/>
                <w:color w:val="auto"/>
                <w:kern w:val="0"/>
                <w:sz w:val="22"/>
                <w:szCs w:val="18"/>
                <w:highlight w:val="none"/>
                <w:lang w:eastAsia="zh-CN"/>
              </w:rPr>
              <w:t>市发展改革委</w:t>
            </w:r>
          </w:p>
        </w:tc>
        <w:tc>
          <w:tcPr>
            <w:tcW w:w="2438" w:type="dxa"/>
            <w:vAlign w:val="center"/>
          </w:tcPr>
          <w:p>
            <w:pPr>
              <w:widowControl w:val="0"/>
              <w:adjustRightInd w:val="0"/>
              <w:snapToGrid w:val="0"/>
              <w:spacing w:line="240" w:lineRule="atLeast"/>
              <w:ind w:left="0" w:leftChars="0" w:firstLine="0" w:firstLineChars="0"/>
              <w:jc w:val="left"/>
              <w:rPr>
                <w:rFonts w:hint="eastAsia" w:ascii="Times New Roman" w:hAnsi="Times New Roman" w:eastAsia="仿宋_GB2312" w:cs="Times New Roman"/>
                <w:color w:val="auto"/>
                <w:kern w:val="0"/>
                <w:sz w:val="22"/>
                <w:szCs w:val="18"/>
                <w:highlight w:val="none"/>
                <w:lang w:val="en-US" w:eastAsia="zh-CN"/>
              </w:rPr>
            </w:pPr>
            <w:r>
              <w:rPr>
                <w:rFonts w:hint="eastAsia" w:ascii="Times New Roman" w:hAnsi="Times New Roman" w:eastAsia="仿宋_GB2312" w:cs="Times New Roman"/>
                <w:color w:val="auto"/>
                <w:kern w:val="0"/>
                <w:sz w:val="22"/>
                <w:szCs w:val="18"/>
                <w:highlight w:val="none"/>
                <w:lang w:eastAsia="zh-CN"/>
              </w:rPr>
              <w:t>周口供电公司、市投资集团。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14" w:type="dxa"/>
            <w:vAlign w:val="center"/>
          </w:tcPr>
          <w:p>
            <w:pPr>
              <w:widowControl w:val="0"/>
              <w:adjustRightInd w:val="0"/>
              <w:snapToGrid w:val="0"/>
              <w:spacing w:line="240" w:lineRule="atLeast"/>
              <w:ind w:left="0" w:leftChars="0" w:firstLine="0" w:firstLineChars="0"/>
              <w:jc w:val="center"/>
              <w:rPr>
                <w:rFonts w:hint="default" w:ascii="Times New Roman" w:hAnsi="Times New Roman" w:cs="Times New Roman" w:eastAsiaTheme="majorEastAsia"/>
                <w:color w:val="auto"/>
                <w:kern w:val="0"/>
                <w:sz w:val="22"/>
                <w:szCs w:val="18"/>
                <w:highlight w:val="none"/>
                <w:lang w:val="en-US" w:eastAsia="zh-CN"/>
              </w:rPr>
            </w:pPr>
            <w:r>
              <w:rPr>
                <w:rFonts w:hint="default" w:ascii="Times New Roman" w:hAnsi="Times New Roman" w:cs="Times New Roman" w:eastAsiaTheme="majorEastAsia"/>
                <w:color w:val="auto"/>
                <w:kern w:val="0"/>
                <w:sz w:val="22"/>
                <w:szCs w:val="18"/>
                <w:highlight w:val="none"/>
                <w:lang w:val="en-US" w:eastAsia="zh-CN"/>
              </w:rPr>
              <w:t>6</w:t>
            </w:r>
          </w:p>
        </w:tc>
        <w:tc>
          <w:tcPr>
            <w:tcW w:w="959" w:type="dxa"/>
            <w:vAlign w:val="center"/>
          </w:tcPr>
          <w:p>
            <w:pPr>
              <w:keepNext w:val="0"/>
              <w:keepLines w:val="0"/>
              <w:pageBreakBefore w:val="0"/>
              <w:widowControl w:val="0"/>
              <w:kinsoku/>
              <w:wordWrap/>
              <w:overflowPunct/>
              <w:topLinePunct w:val="0"/>
              <w:autoSpaceDE/>
              <w:autoSpaceDN/>
              <w:bidi w:val="0"/>
              <w:adjustRightInd w:val="0"/>
              <w:snapToGrid w:val="0"/>
              <w:spacing w:line="240" w:lineRule="atLeast"/>
              <w:ind w:left="0" w:leftChars="0" w:firstLine="0" w:firstLineChars="0"/>
              <w:jc w:val="both"/>
              <w:textAlignment w:val="auto"/>
              <w:rPr>
                <w:rFonts w:hint="eastAsia" w:ascii="Times New Roman" w:hAnsi="Times New Roman" w:eastAsia="仿宋_GB2312" w:cs="Times New Roman"/>
                <w:color w:val="auto"/>
                <w:kern w:val="0"/>
                <w:sz w:val="22"/>
                <w:szCs w:val="18"/>
                <w:highlight w:val="none"/>
                <w:lang w:eastAsia="zh-CN"/>
              </w:rPr>
            </w:pPr>
            <w:r>
              <w:rPr>
                <w:rFonts w:hint="eastAsia" w:ascii="Times New Roman" w:hAnsi="Times New Roman" w:eastAsia="仿宋_GB2312" w:cs="Times New Roman"/>
                <w:color w:val="auto"/>
                <w:kern w:val="0"/>
                <w:sz w:val="22"/>
                <w:szCs w:val="18"/>
                <w:highlight w:val="none"/>
                <w:lang w:eastAsia="zh-CN"/>
              </w:rPr>
              <w:t>完善财政价格政策。</w:t>
            </w:r>
          </w:p>
        </w:tc>
        <w:tc>
          <w:tcPr>
            <w:tcW w:w="2476" w:type="dxa"/>
            <w:vAlign w:val="center"/>
          </w:tcPr>
          <w:p>
            <w:pPr>
              <w:keepNext w:val="0"/>
              <w:keepLines w:val="0"/>
              <w:pageBreakBefore w:val="0"/>
              <w:widowControl w:val="0"/>
              <w:kinsoku/>
              <w:wordWrap/>
              <w:overflowPunct/>
              <w:topLinePunct w:val="0"/>
              <w:autoSpaceDE/>
              <w:autoSpaceDN/>
              <w:bidi w:val="0"/>
              <w:adjustRightInd w:val="0"/>
              <w:snapToGrid w:val="0"/>
              <w:spacing w:line="240" w:lineRule="atLeast"/>
              <w:ind w:left="0" w:leftChars="0" w:firstLine="0" w:firstLineChars="0"/>
              <w:jc w:val="both"/>
              <w:textAlignment w:val="auto"/>
              <w:rPr>
                <w:rFonts w:hint="eastAsia" w:ascii="Times New Roman" w:hAnsi="Times New Roman" w:eastAsia="仿宋_GB2312" w:cs="Times New Roman"/>
                <w:color w:val="auto"/>
                <w:kern w:val="0"/>
                <w:sz w:val="22"/>
                <w:szCs w:val="18"/>
                <w:highlight w:val="none"/>
                <w:lang w:eastAsia="zh-CN"/>
              </w:rPr>
            </w:pPr>
            <w:r>
              <w:rPr>
                <w:rFonts w:hint="eastAsia" w:ascii="Times New Roman" w:hAnsi="Times New Roman" w:eastAsia="仿宋_GB2312" w:cs="Times New Roman"/>
                <w:color w:val="auto"/>
                <w:kern w:val="0"/>
                <w:sz w:val="22"/>
                <w:szCs w:val="18"/>
                <w:highlight w:val="none"/>
                <w:lang w:eastAsia="zh-CN"/>
              </w:rPr>
              <w:t>制定我市充电基础设施建设运营的财政支持政策；争取国家和省对充电基础设施建设、运营奖补资金支持。</w:t>
            </w:r>
          </w:p>
        </w:tc>
        <w:tc>
          <w:tcPr>
            <w:tcW w:w="1935" w:type="dxa"/>
            <w:vAlign w:val="center"/>
          </w:tcPr>
          <w:p>
            <w:pPr>
              <w:widowControl w:val="0"/>
              <w:adjustRightInd w:val="0"/>
              <w:snapToGrid w:val="0"/>
              <w:spacing w:line="240" w:lineRule="atLeast"/>
              <w:ind w:left="0" w:leftChars="0" w:firstLine="0" w:firstLineChars="0"/>
              <w:jc w:val="center"/>
              <w:rPr>
                <w:rFonts w:hint="eastAsia" w:ascii="Times New Roman" w:hAnsi="Times New Roman" w:eastAsia="仿宋_GB2312" w:cs="Times New Roman"/>
                <w:color w:val="auto"/>
                <w:kern w:val="0"/>
                <w:sz w:val="22"/>
                <w:szCs w:val="18"/>
                <w:highlight w:val="none"/>
                <w:lang w:eastAsia="zh-CN"/>
              </w:rPr>
            </w:pPr>
            <w:r>
              <w:rPr>
                <w:rFonts w:hint="eastAsia" w:ascii="Times New Roman" w:hAnsi="Times New Roman" w:eastAsia="仿宋_GB2312" w:cs="Times New Roman"/>
                <w:color w:val="auto"/>
                <w:kern w:val="0"/>
                <w:sz w:val="22"/>
                <w:szCs w:val="18"/>
                <w:highlight w:val="none"/>
                <w:lang w:eastAsia="zh-CN"/>
              </w:rPr>
              <w:t>市发展改革委、</w:t>
            </w:r>
          </w:p>
          <w:p>
            <w:pPr>
              <w:widowControl w:val="0"/>
              <w:adjustRightInd w:val="0"/>
              <w:snapToGrid w:val="0"/>
              <w:spacing w:line="240" w:lineRule="atLeast"/>
              <w:ind w:left="0" w:leftChars="0" w:firstLine="0" w:firstLineChars="0"/>
              <w:jc w:val="center"/>
              <w:rPr>
                <w:rFonts w:hint="eastAsia" w:ascii="Times New Roman" w:hAnsi="Times New Roman" w:eastAsia="仿宋_GB2312" w:cs="Times New Roman"/>
                <w:color w:val="auto"/>
                <w:kern w:val="0"/>
                <w:sz w:val="22"/>
                <w:szCs w:val="18"/>
                <w:highlight w:val="none"/>
                <w:lang w:eastAsia="zh-CN"/>
              </w:rPr>
            </w:pPr>
            <w:r>
              <w:rPr>
                <w:rFonts w:hint="eastAsia" w:ascii="Times New Roman" w:hAnsi="Times New Roman" w:eastAsia="仿宋_GB2312" w:cs="Times New Roman"/>
                <w:color w:val="auto"/>
                <w:kern w:val="0"/>
                <w:sz w:val="22"/>
                <w:szCs w:val="18"/>
                <w:highlight w:val="none"/>
                <w:lang w:eastAsia="zh-CN"/>
              </w:rPr>
              <w:t>市财政局</w:t>
            </w:r>
          </w:p>
        </w:tc>
        <w:tc>
          <w:tcPr>
            <w:tcW w:w="2438" w:type="dxa"/>
            <w:vAlign w:val="center"/>
          </w:tcPr>
          <w:p>
            <w:pPr>
              <w:keepNext w:val="0"/>
              <w:keepLines w:val="0"/>
              <w:pageBreakBefore w:val="0"/>
              <w:widowControl w:val="0"/>
              <w:kinsoku/>
              <w:wordWrap/>
              <w:overflowPunct/>
              <w:topLinePunct w:val="0"/>
              <w:autoSpaceDE/>
              <w:autoSpaceDN/>
              <w:bidi w:val="0"/>
              <w:adjustRightInd w:val="0"/>
              <w:snapToGrid w:val="0"/>
              <w:spacing w:line="240" w:lineRule="atLeast"/>
              <w:ind w:left="0" w:leftChars="0" w:firstLine="0" w:firstLineChars="0"/>
              <w:jc w:val="both"/>
              <w:textAlignment w:val="auto"/>
              <w:rPr>
                <w:rFonts w:hint="eastAsia" w:ascii="Times New Roman" w:hAnsi="Times New Roman" w:eastAsia="仿宋_GB2312" w:cs="Times New Roman"/>
                <w:color w:val="auto"/>
                <w:kern w:val="0"/>
                <w:sz w:val="22"/>
                <w:szCs w:val="18"/>
                <w:highlight w:val="none"/>
                <w:lang w:eastAsia="zh-CN"/>
              </w:rPr>
            </w:pPr>
            <w:r>
              <w:rPr>
                <w:rFonts w:hint="eastAsia" w:ascii="Times New Roman" w:hAnsi="Times New Roman" w:eastAsia="仿宋_GB2312" w:cs="Times New Roman"/>
                <w:color w:val="auto"/>
                <w:kern w:val="0"/>
                <w:sz w:val="22"/>
                <w:szCs w:val="18"/>
                <w:highlight w:val="none"/>
                <w:lang w:eastAsia="zh-CN"/>
              </w:rPr>
              <w:t>市公安局、市城市管理管局、市住房城乡建设局、交通运输局、市机关</w:t>
            </w:r>
            <w:r>
              <w:rPr>
                <w:rFonts w:hint="default" w:ascii="Times New Roman" w:hAnsi="Times New Roman" w:eastAsia="仿宋_GB2312" w:cs="Times New Roman"/>
                <w:color w:val="auto"/>
                <w:kern w:val="0"/>
                <w:sz w:val="22"/>
                <w:szCs w:val="18"/>
                <w:highlight w:val="none"/>
                <w:lang w:val="en" w:eastAsia="zh-CN"/>
              </w:rPr>
              <w:t>事务</w:t>
            </w:r>
            <w:r>
              <w:rPr>
                <w:rFonts w:hint="eastAsia" w:ascii="Times New Roman" w:hAnsi="Times New Roman" w:eastAsia="仿宋_GB2312" w:cs="Times New Roman"/>
                <w:color w:val="auto"/>
                <w:kern w:val="0"/>
                <w:sz w:val="22"/>
                <w:szCs w:val="18"/>
                <w:highlight w:val="none"/>
                <w:lang w:eastAsia="zh-CN"/>
              </w:rPr>
              <w:t>中心、市金融工作局、周口银保监分局、市投资集团、周口供电公司。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14" w:type="dxa"/>
            <w:vAlign w:val="center"/>
          </w:tcPr>
          <w:p>
            <w:pPr>
              <w:widowControl w:val="0"/>
              <w:adjustRightInd w:val="0"/>
              <w:snapToGrid w:val="0"/>
              <w:spacing w:line="240" w:lineRule="atLeast"/>
              <w:ind w:left="0" w:leftChars="0" w:firstLine="0" w:firstLineChars="0"/>
              <w:jc w:val="center"/>
              <w:rPr>
                <w:rFonts w:hint="default" w:ascii="Times New Roman" w:hAnsi="Times New Roman" w:cs="Times New Roman" w:eastAsiaTheme="majorEastAsia"/>
                <w:color w:val="auto"/>
                <w:kern w:val="0"/>
                <w:sz w:val="22"/>
                <w:szCs w:val="18"/>
                <w:highlight w:val="none"/>
                <w:lang w:val="en-US" w:eastAsia="zh-CN"/>
              </w:rPr>
            </w:pPr>
            <w:r>
              <w:rPr>
                <w:rFonts w:hint="default" w:ascii="Times New Roman" w:hAnsi="Times New Roman" w:cs="Times New Roman" w:eastAsiaTheme="majorEastAsia"/>
                <w:color w:val="auto"/>
                <w:kern w:val="0"/>
                <w:sz w:val="22"/>
                <w:szCs w:val="18"/>
                <w:highlight w:val="none"/>
                <w:lang w:val="en-US" w:eastAsia="zh-CN"/>
              </w:rPr>
              <w:t>7</w:t>
            </w:r>
          </w:p>
        </w:tc>
        <w:tc>
          <w:tcPr>
            <w:tcW w:w="959" w:type="dxa"/>
            <w:vAlign w:val="center"/>
          </w:tcPr>
          <w:p>
            <w:pPr>
              <w:keepNext w:val="0"/>
              <w:keepLines w:val="0"/>
              <w:pageBreakBefore w:val="0"/>
              <w:widowControl w:val="0"/>
              <w:kinsoku/>
              <w:wordWrap/>
              <w:overflowPunct/>
              <w:topLinePunct w:val="0"/>
              <w:autoSpaceDE/>
              <w:autoSpaceDN/>
              <w:bidi w:val="0"/>
              <w:adjustRightInd w:val="0"/>
              <w:snapToGrid w:val="0"/>
              <w:spacing w:line="240" w:lineRule="atLeast"/>
              <w:ind w:left="0" w:leftChars="0" w:firstLine="0" w:firstLineChars="0"/>
              <w:jc w:val="both"/>
              <w:textAlignment w:val="auto"/>
              <w:rPr>
                <w:rFonts w:hint="eastAsia" w:ascii="Times New Roman" w:hAnsi="Times New Roman" w:eastAsia="仿宋_GB2312" w:cs="Times New Roman"/>
                <w:color w:val="auto"/>
                <w:kern w:val="0"/>
                <w:sz w:val="22"/>
                <w:szCs w:val="18"/>
                <w:highlight w:val="none"/>
                <w:lang w:eastAsia="zh-CN"/>
              </w:rPr>
            </w:pPr>
            <w:r>
              <w:rPr>
                <w:rFonts w:hint="eastAsia" w:ascii="Times New Roman" w:hAnsi="Times New Roman" w:eastAsia="仿宋_GB2312" w:cs="Times New Roman"/>
                <w:color w:val="auto"/>
                <w:kern w:val="0"/>
                <w:sz w:val="22"/>
                <w:szCs w:val="18"/>
                <w:highlight w:val="none"/>
                <w:lang w:eastAsia="zh-CN"/>
              </w:rPr>
              <w:t>加强配网入服务。</w:t>
            </w:r>
          </w:p>
        </w:tc>
        <w:tc>
          <w:tcPr>
            <w:tcW w:w="2476" w:type="dxa"/>
            <w:vAlign w:val="center"/>
          </w:tcPr>
          <w:p>
            <w:pPr>
              <w:keepNext w:val="0"/>
              <w:keepLines w:val="0"/>
              <w:pageBreakBefore w:val="0"/>
              <w:widowControl w:val="0"/>
              <w:kinsoku/>
              <w:wordWrap/>
              <w:overflowPunct/>
              <w:topLinePunct w:val="0"/>
              <w:autoSpaceDE/>
              <w:autoSpaceDN/>
              <w:bidi w:val="0"/>
              <w:adjustRightInd w:val="0"/>
              <w:snapToGrid w:val="0"/>
              <w:spacing w:line="240" w:lineRule="atLeast"/>
              <w:ind w:left="0" w:leftChars="0" w:firstLine="0" w:firstLineChars="0"/>
              <w:jc w:val="both"/>
              <w:textAlignment w:val="auto"/>
              <w:rPr>
                <w:rFonts w:hint="eastAsia" w:ascii="Times New Roman" w:hAnsi="Times New Roman" w:eastAsia="仿宋_GB2312" w:cs="Times New Roman"/>
                <w:color w:val="auto"/>
                <w:kern w:val="0"/>
                <w:sz w:val="22"/>
                <w:szCs w:val="18"/>
                <w:highlight w:val="none"/>
                <w:lang w:eastAsia="zh-CN"/>
              </w:rPr>
            </w:pPr>
            <w:r>
              <w:rPr>
                <w:rFonts w:hint="eastAsia" w:ascii="Times New Roman" w:hAnsi="Times New Roman" w:eastAsia="仿宋_GB2312" w:cs="Times New Roman"/>
                <w:color w:val="auto"/>
                <w:kern w:val="0"/>
                <w:sz w:val="22"/>
                <w:szCs w:val="18"/>
                <w:highlight w:val="none"/>
                <w:lang w:eastAsia="zh-CN"/>
              </w:rPr>
              <w:t>负责建设、运行和维护充电设施配套电网建设与改造工程，确保电力供应满足充换电设施建设运营需求；为充电基础设施接入电网提供便利条件，开通绿色通道，限时办结。</w:t>
            </w:r>
          </w:p>
        </w:tc>
        <w:tc>
          <w:tcPr>
            <w:tcW w:w="1935" w:type="dxa"/>
            <w:vAlign w:val="center"/>
          </w:tcPr>
          <w:p>
            <w:pPr>
              <w:widowControl w:val="0"/>
              <w:adjustRightInd w:val="0"/>
              <w:snapToGrid w:val="0"/>
              <w:spacing w:line="240" w:lineRule="atLeast"/>
              <w:ind w:left="0" w:leftChars="0" w:firstLine="0" w:firstLineChars="0"/>
              <w:jc w:val="center"/>
              <w:rPr>
                <w:rFonts w:hint="eastAsia" w:ascii="Times New Roman" w:hAnsi="Times New Roman" w:eastAsia="仿宋_GB2312" w:cs="Times New Roman"/>
                <w:color w:val="auto"/>
                <w:kern w:val="0"/>
                <w:sz w:val="22"/>
                <w:szCs w:val="18"/>
                <w:highlight w:val="none"/>
                <w:lang w:eastAsia="zh-CN"/>
              </w:rPr>
            </w:pPr>
            <w:r>
              <w:rPr>
                <w:rFonts w:hint="eastAsia" w:ascii="Times New Roman" w:hAnsi="Times New Roman" w:eastAsia="仿宋_GB2312" w:cs="Times New Roman"/>
                <w:color w:val="auto"/>
                <w:kern w:val="0"/>
                <w:sz w:val="22"/>
                <w:szCs w:val="18"/>
                <w:highlight w:val="none"/>
                <w:lang w:eastAsia="zh-CN"/>
              </w:rPr>
              <w:t>周口供电公司</w:t>
            </w:r>
          </w:p>
        </w:tc>
        <w:tc>
          <w:tcPr>
            <w:tcW w:w="2438" w:type="dxa"/>
            <w:vAlign w:val="center"/>
          </w:tcPr>
          <w:p>
            <w:pPr>
              <w:keepNext w:val="0"/>
              <w:keepLines w:val="0"/>
              <w:pageBreakBefore w:val="0"/>
              <w:widowControl w:val="0"/>
              <w:kinsoku/>
              <w:wordWrap/>
              <w:overflowPunct/>
              <w:topLinePunct w:val="0"/>
              <w:autoSpaceDE/>
              <w:autoSpaceDN/>
              <w:bidi w:val="0"/>
              <w:adjustRightInd w:val="0"/>
              <w:snapToGrid w:val="0"/>
              <w:spacing w:line="240" w:lineRule="atLeast"/>
              <w:ind w:left="0" w:leftChars="0" w:firstLine="0" w:firstLineChars="0"/>
              <w:jc w:val="both"/>
              <w:textAlignment w:val="auto"/>
              <w:rPr>
                <w:rFonts w:hint="eastAsia" w:ascii="Times New Roman" w:hAnsi="Times New Roman" w:eastAsia="仿宋_GB2312" w:cs="Times New Roman"/>
                <w:color w:val="auto"/>
                <w:kern w:val="0"/>
                <w:sz w:val="22"/>
                <w:szCs w:val="18"/>
                <w:highlight w:val="none"/>
                <w:lang w:eastAsia="zh-CN"/>
              </w:rPr>
            </w:pPr>
            <w:r>
              <w:rPr>
                <w:rFonts w:hint="eastAsia" w:ascii="Times New Roman" w:hAnsi="Times New Roman" w:eastAsia="仿宋_GB2312" w:cs="Times New Roman"/>
                <w:color w:val="auto"/>
                <w:kern w:val="0"/>
                <w:sz w:val="22"/>
                <w:szCs w:val="18"/>
                <w:highlight w:val="none"/>
                <w:lang w:eastAsia="zh-CN"/>
              </w:rPr>
              <w:t>市发展改革委、市公安局、市城市管理局、市住房城乡建设局、市交通运输局、市机关</w:t>
            </w:r>
            <w:r>
              <w:rPr>
                <w:rFonts w:hint="default" w:ascii="Times New Roman" w:hAnsi="Times New Roman" w:eastAsia="仿宋_GB2312" w:cs="Times New Roman"/>
                <w:color w:val="auto"/>
                <w:kern w:val="0"/>
                <w:sz w:val="22"/>
                <w:szCs w:val="18"/>
                <w:highlight w:val="none"/>
                <w:lang w:val="en" w:eastAsia="zh-CN"/>
              </w:rPr>
              <w:t>事务</w:t>
            </w:r>
            <w:r>
              <w:rPr>
                <w:rFonts w:hint="eastAsia" w:ascii="Times New Roman" w:hAnsi="Times New Roman" w:eastAsia="仿宋_GB2312" w:cs="Times New Roman"/>
                <w:color w:val="auto"/>
                <w:kern w:val="0"/>
                <w:sz w:val="22"/>
                <w:szCs w:val="18"/>
                <w:highlight w:val="none"/>
                <w:lang w:eastAsia="zh-CN"/>
              </w:rPr>
              <w:t>中心、市投资集团。</w:t>
            </w:r>
          </w:p>
        </w:tc>
      </w:tr>
    </w:tbl>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heme="majorEastAsia" w:hAnsiTheme="majorEastAsia" w:eastAsiaTheme="majorEastAsia" w:cstheme="majorEastAsia"/>
          <w:color w:val="auto"/>
          <w:highlight w:val="none"/>
          <w:lang w:val="en" w:eastAsia="zh-CN"/>
        </w:rPr>
      </w:pPr>
    </w:p>
    <w:p>
      <w:pPr>
        <w:pStyle w:val="3"/>
        <w:rPr>
          <w:rFonts w:hint="eastAsia" w:asciiTheme="majorEastAsia" w:hAnsiTheme="majorEastAsia" w:eastAsiaTheme="majorEastAsia" w:cstheme="majorEastAsia"/>
          <w:color w:val="auto"/>
          <w:highlight w:val="none"/>
          <w:lang w:val="en"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Style w:val="12"/>
          <w:rFonts w:hint="eastAsia" w:asciiTheme="majorEastAsia" w:hAnsiTheme="majorEastAsia" w:eastAsiaTheme="majorEastAsia" w:cstheme="majorEastAsia"/>
          <w:b w:val="0"/>
          <w:bCs w:val="0"/>
          <w:color w:val="auto"/>
          <w:szCs w:val="32"/>
          <w:highlight w:val="none"/>
          <w:lang w:val="en-US" w:eastAsia="zh-CN"/>
        </w:rPr>
      </w:pPr>
    </w:p>
    <w:p>
      <w:pPr>
        <w:bidi w:val="0"/>
        <w:ind w:left="0" w:leftChars="0" w:firstLine="0" w:firstLineChars="0"/>
        <w:rPr>
          <w:rFonts w:hint="eastAsia" w:asciiTheme="majorEastAsia" w:hAnsiTheme="majorEastAsia" w:eastAsiaTheme="majorEastAsia" w:cstheme="majorEastAsia"/>
          <w:bCs/>
          <w:snapToGrid w:val="0"/>
          <w:color w:val="auto"/>
          <w:spacing w:val="-4"/>
          <w:sz w:val="32"/>
          <w:szCs w:val="32"/>
          <w:highlight w:val="none"/>
          <w:lang w:val="en-US" w:eastAsia="zh-CN"/>
        </w:rPr>
      </w:pPr>
    </w:p>
    <w:sectPr>
      <w:footerReference r:id="rId5" w:type="default"/>
      <w:pgSz w:w="11906" w:h="16838"/>
      <w:pgMar w:top="2098" w:right="1474" w:bottom="1984" w:left="1587" w:header="851" w:footer="992" w:gutter="0"/>
      <w:pgNumType w:fmt="numberInDash"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8"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_GB2312">
    <w:altName w:val="URW Bookman"/>
    <w:panose1 w:val="00000000000000000000"/>
    <w:charset w:val="00"/>
    <w:family w:val="auto"/>
    <w:pitch w:val="default"/>
    <w:sig w:usb0="00000000" w:usb1="00000000" w:usb2="00000000" w:usb3="00000000" w:csb0="00000001" w:csb1="00000000"/>
  </w:font>
  <w:font w:name="方正小标宋简体">
    <w:panose1 w:val="02000000000000000000"/>
    <w:charset w:val="86"/>
    <w:family w:val="auto"/>
    <w:pitch w:val="default"/>
    <w:sig w:usb0="A00002BF" w:usb1="184F6CFA" w:usb2="00000012" w:usb3="00000000" w:csb0="00040001" w:csb1="00000000"/>
  </w:font>
  <w:font w:name="CESI仿宋-GB2312">
    <w:panose1 w:val="02000500000000000000"/>
    <w:charset w:val="86"/>
    <w:family w:val="auto"/>
    <w:pitch w:val="default"/>
    <w:sig w:usb0="800002AF" w:usb1="084F6CF8" w:usb2="00000010" w:usb3="00000000" w:csb0="0004000F" w:csb1="00000000"/>
  </w:font>
  <w:font w:name="仿宋_GB2312">
    <w:altName w:val="方正仿宋_GBK"/>
    <w:panose1 w:val="02010609030101010101"/>
    <w:charset w:val="86"/>
    <w:family w:val="modern"/>
    <w:pitch w:val="default"/>
    <w:sig w:usb0="00000000" w:usb1="00000000" w:usb2="00000000" w:usb3="00000000" w:csb0="00040000" w:csb1="00000000"/>
  </w:font>
  <w:font w:name="楷体_GB2312">
    <w:altName w:val="方正楷体_GBK"/>
    <w:panose1 w:val="02010609030101010101"/>
    <w:charset w:val="86"/>
    <w:family w:val="auto"/>
    <w:pitch w:val="default"/>
    <w:sig w:usb0="00000000" w:usb1="00000000" w:usb2="00000000" w:usb3="00000000" w:csb0="00040000" w:csb1="00000000"/>
  </w:font>
  <w:font w:name="CESI黑体-GB13000">
    <w:panose1 w:val="02000500000000000000"/>
    <w:charset w:val="86"/>
    <w:family w:val="auto"/>
    <w:pitch w:val="default"/>
    <w:sig w:usb0="800002BF" w:usb1="38CF7CF8" w:usb2="00000016" w:usb3="00000000" w:csb0="0004000F" w:csb1="00000000"/>
  </w:font>
  <w:font w:name="方正仿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URW Bookman">
    <w:panose1 w:val="00000400000000000000"/>
    <w:charset w:val="00"/>
    <w:family w:val="auto"/>
    <w:pitch w:val="default"/>
    <w:sig w:usb0="00000287" w:usb1="00000800" w:usb2="00000000" w:usb3="00000000" w:csb0="6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19505" cy="1828800"/>
              <wp:effectExtent l="0" t="0" r="0" b="0"/>
              <wp:wrapNone/>
              <wp:docPr id="2" name="文本框 2"/>
              <wp:cNvGraphicFramePr/>
              <a:graphic xmlns:a="http://schemas.openxmlformats.org/drawingml/2006/main">
                <a:graphicData uri="http://schemas.microsoft.com/office/word/2010/wordprocessingShape">
                  <wps:wsp>
                    <wps:cNvSpPr txBox="true"/>
                    <wps:spPr>
                      <a:xfrm>
                        <a:off x="0" y="0"/>
                        <a:ext cx="1119505"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rot="0" spcFirstLastPara="0" vertOverflow="overflow" horzOverflow="overflow" vert="horz" wrap="squar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88.15pt;mso-position-horizontal:center;mso-position-horizontal-relative:margin;z-index:251659264;mso-width-relative:page;mso-height-relative:page;" filled="f" stroked="f" coordsize="21600,21600" o:gfxdata="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BYAAABkcnMv&#10;UEsBAhQAFAAAAAgAh07iQFmCo8jUAAAABQEAAA8AAAAAAAAAAQAgAAAAOAAAAGRycy9kb3ducmV2&#10;LnhtbFBLAQIUABQAAAAIAIdO4kD2CjHhIwIAACsEAAAOAAAAAAAAAAEAIAAAADkBAABkcnMvZTJv&#10;RG9jLnhtbFBLBQYAAAAABgAGAFkBAADOBQAAAAA=&#10;">
              <v:fill on="f" focussize="0,0"/>
              <v:stroke on="f" weight="0.5pt"/>
              <v:imagedata o:title=""/>
              <o:lock v:ext="edit" aspectratio="f"/>
              <v:textbox inset="0mm,0mm,0mm,0mm" style="mso-fit-shape-to-text:t;">
                <w:txbxContent>
                  <w:p>
                    <w:pPr>
                      <w:pStyle w:val="4"/>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RkNjJjYTEzYjM2NmNiOGI4OTMxMWFmNGE4MDY3YzYifQ=="/>
  </w:docVars>
  <w:rsids>
    <w:rsidRoot w:val="25755EEF"/>
    <w:rsid w:val="00103897"/>
    <w:rsid w:val="0127533C"/>
    <w:rsid w:val="029D1A04"/>
    <w:rsid w:val="03B86720"/>
    <w:rsid w:val="040C70AC"/>
    <w:rsid w:val="041F679F"/>
    <w:rsid w:val="04ED064B"/>
    <w:rsid w:val="04ED1825"/>
    <w:rsid w:val="055FCA4F"/>
    <w:rsid w:val="056A1C9B"/>
    <w:rsid w:val="05C825D3"/>
    <w:rsid w:val="06897EFF"/>
    <w:rsid w:val="06E72E78"/>
    <w:rsid w:val="073BEBFC"/>
    <w:rsid w:val="077DEB4A"/>
    <w:rsid w:val="08534C69"/>
    <w:rsid w:val="0A1026E6"/>
    <w:rsid w:val="0A775C69"/>
    <w:rsid w:val="0ABDEF12"/>
    <w:rsid w:val="0BFB8642"/>
    <w:rsid w:val="0C965124"/>
    <w:rsid w:val="0CF33DFC"/>
    <w:rsid w:val="0E545297"/>
    <w:rsid w:val="0E576B35"/>
    <w:rsid w:val="0E750619"/>
    <w:rsid w:val="0E76520D"/>
    <w:rsid w:val="0F4B48EC"/>
    <w:rsid w:val="0F654C2C"/>
    <w:rsid w:val="0FFD2DD0"/>
    <w:rsid w:val="11FF1865"/>
    <w:rsid w:val="13BDDA18"/>
    <w:rsid w:val="13DDB166"/>
    <w:rsid w:val="1441006B"/>
    <w:rsid w:val="146A5814"/>
    <w:rsid w:val="14F615A9"/>
    <w:rsid w:val="15776CEA"/>
    <w:rsid w:val="16241DD5"/>
    <w:rsid w:val="165E3157"/>
    <w:rsid w:val="16D7CE0C"/>
    <w:rsid w:val="16F03BE2"/>
    <w:rsid w:val="17DEB4B7"/>
    <w:rsid w:val="17DF0706"/>
    <w:rsid w:val="17EE5273"/>
    <w:rsid w:val="17FA1E0F"/>
    <w:rsid w:val="17FB2820"/>
    <w:rsid w:val="17FFF6CE"/>
    <w:rsid w:val="183A374F"/>
    <w:rsid w:val="18692C76"/>
    <w:rsid w:val="19630A84"/>
    <w:rsid w:val="1A276F2B"/>
    <w:rsid w:val="1A7F4B0B"/>
    <w:rsid w:val="1AABD0DE"/>
    <w:rsid w:val="1AB94556"/>
    <w:rsid w:val="1AD63F77"/>
    <w:rsid w:val="1ADFA5B6"/>
    <w:rsid w:val="1B3FE37B"/>
    <w:rsid w:val="1B6E5CF8"/>
    <w:rsid w:val="1B7E24DC"/>
    <w:rsid w:val="1BCCBEF8"/>
    <w:rsid w:val="1BEF657F"/>
    <w:rsid w:val="1C7F3E27"/>
    <w:rsid w:val="1CDCA7E9"/>
    <w:rsid w:val="1D305121"/>
    <w:rsid w:val="1D971DA6"/>
    <w:rsid w:val="1D9A259A"/>
    <w:rsid w:val="1DEE23E5"/>
    <w:rsid w:val="1E2A68BC"/>
    <w:rsid w:val="1E7BAB3E"/>
    <w:rsid w:val="1EA7D924"/>
    <w:rsid w:val="1EB7CA97"/>
    <w:rsid w:val="1F2962CC"/>
    <w:rsid w:val="1F7D9D0B"/>
    <w:rsid w:val="1F9A2C3B"/>
    <w:rsid w:val="1F9F5DF2"/>
    <w:rsid w:val="1FBCD25A"/>
    <w:rsid w:val="1FBF03BD"/>
    <w:rsid w:val="1FC97167"/>
    <w:rsid w:val="1FDFAEAF"/>
    <w:rsid w:val="1FEDB912"/>
    <w:rsid w:val="1FEFAD35"/>
    <w:rsid w:val="1FEFF92D"/>
    <w:rsid w:val="1FFBBD50"/>
    <w:rsid w:val="1FFC565B"/>
    <w:rsid w:val="1FFD8D88"/>
    <w:rsid w:val="21354AB4"/>
    <w:rsid w:val="215869F4"/>
    <w:rsid w:val="223A3D18"/>
    <w:rsid w:val="22DC7795"/>
    <w:rsid w:val="23AD74CB"/>
    <w:rsid w:val="24BEF99D"/>
    <w:rsid w:val="24FD3B3B"/>
    <w:rsid w:val="25056E93"/>
    <w:rsid w:val="25755EEF"/>
    <w:rsid w:val="25A58938"/>
    <w:rsid w:val="25F9432E"/>
    <w:rsid w:val="26950447"/>
    <w:rsid w:val="26E33204"/>
    <w:rsid w:val="26FFA380"/>
    <w:rsid w:val="275D530C"/>
    <w:rsid w:val="27716A62"/>
    <w:rsid w:val="27F6C4F5"/>
    <w:rsid w:val="280D0539"/>
    <w:rsid w:val="285A12A4"/>
    <w:rsid w:val="28747F0D"/>
    <w:rsid w:val="28A80261"/>
    <w:rsid w:val="28C826B1"/>
    <w:rsid w:val="28CF57EE"/>
    <w:rsid w:val="292F2DCA"/>
    <w:rsid w:val="293F9755"/>
    <w:rsid w:val="29424212"/>
    <w:rsid w:val="297B0394"/>
    <w:rsid w:val="29FAFB48"/>
    <w:rsid w:val="2AAB1228"/>
    <w:rsid w:val="2AEF07C3"/>
    <w:rsid w:val="2B14398C"/>
    <w:rsid w:val="2B163BA8"/>
    <w:rsid w:val="2B1971F4"/>
    <w:rsid w:val="2B2D0EF2"/>
    <w:rsid w:val="2BBF6A51"/>
    <w:rsid w:val="2BDA07CE"/>
    <w:rsid w:val="2BDF98D3"/>
    <w:rsid w:val="2BE55328"/>
    <w:rsid w:val="2C300C99"/>
    <w:rsid w:val="2C478FC4"/>
    <w:rsid w:val="2C5F4384"/>
    <w:rsid w:val="2C67164A"/>
    <w:rsid w:val="2C6E4824"/>
    <w:rsid w:val="2CBB7C5A"/>
    <w:rsid w:val="2CD5539D"/>
    <w:rsid w:val="2CE9CC4B"/>
    <w:rsid w:val="2CFABE70"/>
    <w:rsid w:val="2D0B7011"/>
    <w:rsid w:val="2D1FE91E"/>
    <w:rsid w:val="2D684463"/>
    <w:rsid w:val="2D7DF772"/>
    <w:rsid w:val="2DD92C6B"/>
    <w:rsid w:val="2DEA4459"/>
    <w:rsid w:val="2DEE5DD7"/>
    <w:rsid w:val="2DF81343"/>
    <w:rsid w:val="2E0D6D42"/>
    <w:rsid w:val="2E3F03CE"/>
    <w:rsid w:val="2EDB295C"/>
    <w:rsid w:val="2EEB5652"/>
    <w:rsid w:val="2EED10C4"/>
    <w:rsid w:val="2EF7F958"/>
    <w:rsid w:val="2EFE4B7D"/>
    <w:rsid w:val="2F397E65"/>
    <w:rsid w:val="2F4B5DEA"/>
    <w:rsid w:val="2F7B59AA"/>
    <w:rsid w:val="2F7F1550"/>
    <w:rsid w:val="2F8FAF88"/>
    <w:rsid w:val="2FDBA80B"/>
    <w:rsid w:val="2FEB5AEC"/>
    <w:rsid w:val="2FEF8F2D"/>
    <w:rsid w:val="2FEFA5AA"/>
    <w:rsid w:val="2FF66E65"/>
    <w:rsid w:val="2FFF1601"/>
    <w:rsid w:val="303625F7"/>
    <w:rsid w:val="317764A8"/>
    <w:rsid w:val="31885988"/>
    <w:rsid w:val="31DFEEE8"/>
    <w:rsid w:val="31EFCD51"/>
    <w:rsid w:val="31FE46FD"/>
    <w:rsid w:val="31FF42E8"/>
    <w:rsid w:val="333F08AB"/>
    <w:rsid w:val="33694A91"/>
    <w:rsid w:val="33A36EAA"/>
    <w:rsid w:val="34F301CD"/>
    <w:rsid w:val="351FE7AA"/>
    <w:rsid w:val="3537786A"/>
    <w:rsid w:val="357FFEEE"/>
    <w:rsid w:val="35E23156"/>
    <w:rsid w:val="35FA2332"/>
    <w:rsid w:val="35FEE3E3"/>
    <w:rsid w:val="35FFAA38"/>
    <w:rsid w:val="3680527C"/>
    <w:rsid w:val="36DB3691"/>
    <w:rsid w:val="36FE9B54"/>
    <w:rsid w:val="36FFED6D"/>
    <w:rsid w:val="373F9456"/>
    <w:rsid w:val="37555A58"/>
    <w:rsid w:val="377321F1"/>
    <w:rsid w:val="377CB1B1"/>
    <w:rsid w:val="377D7E5D"/>
    <w:rsid w:val="377E67A5"/>
    <w:rsid w:val="377FBA4A"/>
    <w:rsid w:val="377FCF73"/>
    <w:rsid w:val="378FEDE0"/>
    <w:rsid w:val="37AB6AA2"/>
    <w:rsid w:val="37AF932E"/>
    <w:rsid w:val="37D42E21"/>
    <w:rsid w:val="37E48CA2"/>
    <w:rsid w:val="37F75284"/>
    <w:rsid w:val="39AD7893"/>
    <w:rsid w:val="39C80763"/>
    <w:rsid w:val="39FF3444"/>
    <w:rsid w:val="39FFC92C"/>
    <w:rsid w:val="39FFED36"/>
    <w:rsid w:val="3A5D9674"/>
    <w:rsid w:val="3A5DF828"/>
    <w:rsid w:val="3A8D9764"/>
    <w:rsid w:val="3A9F5F19"/>
    <w:rsid w:val="3ACFD14E"/>
    <w:rsid w:val="3AE8AAFD"/>
    <w:rsid w:val="3AF75CF1"/>
    <w:rsid w:val="3AF7DA28"/>
    <w:rsid w:val="3BAF8512"/>
    <w:rsid w:val="3BBE06F7"/>
    <w:rsid w:val="3BEBAC90"/>
    <w:rsid w:val="3BF33EF7"/>
    <w:rsid w:val="3BFB241D"/>
    <w:rsid w:val="3BFE048C"/>
    <w:rsid w:val="3BFF7F60"/>
    <w:rsid w:val="3CBF39CB"/>
    <w:rsid w:val="3CE7EB49"/>
    <w:rsid w:val="3D0608BE"/>
    <w:rsid w:val="3D0FCF94"/>
    <w:rsid w:val="3D2FCAFA"/>
    <w:rsid w:val="3D3FCD56"/>
    <w:rsid w:val="3D7124D1"/>
    <w:rsid w:val="3DE12DE6"/>
    <w:rsid w:val="3DEA27B0"/>
    <w:rsid w:val="3DEF51C7"/>
    <w:rsid w:val="3DF5EB37"/>
    <w:rsid w:val="3DFB260D"/>
    <w:rsid w:val="3DFB293C"/>
    <w:rsid w:val="3DFEB0E7"/>
    <w:rsid w:val="3DFF7ECA"/>
    <w:rsid w:val="3E1F85F0"/>
    <w:rsid w:val="3E3BAD89"/>
    <w:rsid w:val="3E5D1B14"/>
    <w:rsid w:val="3E76B24C"/>
    <w:rsid w:val="3E7BB044"/>
    <w:rsid w:val="3EAD6886"/>
    <w:rsid w:val="3EBD7863"/>
    <w:rsid w:val="3EBDF9CF"/>
    <w:rsid w:val="3EC56A3C"/>
    <w:rsid w:val="3ECBE697"/>
    <w:rsid w:val="3ED78F29"/>
    <w:rsid w:val="3EDB3B84"/>
    <w:rsid w:val="3EE67D1A"/>
    <w:rsid w:val="3EF7B6B7"/>
    <w:rsid w:val="3EF9AFAE"/>
    <w:rsid w:val="3EFB650E"/>
    <w:rsid w:val="3EFBD093"/>
    <w:rsid w:val="3EFC3B3D"/>
    <w:rsid w:val="3EFE8E82"/>
    <w:rsid w:val="3EFF06B8"/>
    <w:rsid w:val="3EFF549E"/>
    <w:rsid w:val="3EFFF634"/>
    <w:rsid w:val="3F1735F3"/>
    <w:rsid w:val="3F2F8BD2"/>
    <w:rsid w:val="3F373041"/>
    <w:rsid w:val="3F3B2865"/>
    <w:rsid w:val="3F3F74AA"/>
    <w:rsid w:val="3F439E23"/>
    <w:rsid w:val="3F591E5E"/>
    <w:rsid w:val="3F5BB81C"/>
    <w:rsid w:val="3F668B47"/>
    <w:rsid w:val="3F73E6F0"/>
    <w:rsid w:val="3F767846"/>
    <w:rsid w:val="3F779F85"/>
    <w:rsid w:val="3F77EE47"/>
    <w:rsid w:val="3F7B328C"/>
    <w:rsid w:val="3F7D00EE"/>
    <w:rsid w:val="3F7E74F2"/>
    <w:rsid w:val="3F7F6E8C"/>
    <w:rsid w:val="3F7F9D1E"/>
    <w:rsid w:val="3F7FFDE5"/>
    <w:rsid w:val="3F9E6BD0"/>
    <w:rsid w:val="3FA39354"/>
    <w:rsid w:val="3FA71302"/>
    <w:rsid w:val="3FAF5065"/>
    <w:rsid w:val="3FBB35F3"/>
    <w:rsid w:val="3FBD5139"/>
    <w:rsid w:val="3FBF3A51"/>
    <w:rsid w:val="3FBF4613"/>
    <w:rsid w:val="3FBF8A8E"/>
    <w:rsid w:val="3FBF95C0"/>
    <w:rsid w:val="3FCD3908"/>
    <w:rsid w:val="3FCEC901"/>
    <w:rsid w:val="3FD37C0E"/>
    <w:rsid w:val="3FDFF328"/>
    <w:rsid w:val="3FE764F3"/>
    <w:rsid w:val="3FEB5B4D"/>
    <w:rsid w:val="3FED498C"/>
    <w:rsid w:val="3FEE4DFD"/>
    <w:rsid w:val="3FEF227D"/>
    <w:rsid w:val="3FEF457A"/>
    <w:rsid w:val="3FEF948B"/>
    <w:rsid w:val="3FEFFE67"/>
    <w:rsid w:val="3FF21B55"/>
    <w:rsid w:val="3FF76B9B"/>
    <w:rsid w:val="3FFBBC15"/>
    <w:rsid w:val="3FFD1912"/>
    <w:rsid w:val="3FFF7784"/>
    <w:rsid w:val="3FFFB1F9"/>
    <w:rsid w:val="3FFFC68F"/>
    <w:rsid w:val="40DFE851"/>
    <w:rsid w:val="41F83BB0"/>
    <w:rsid w:val="442F72BF"/>
    <w:rsid w:val="44BC2C73"/>
    <w:rsid w:val="45583241"/>
    <w:rsid w:val="45EFF29D"/>
    <w:rsid w:val="462D194E"/>
    <w:rsid w:val="469A3487"/>
    <w:rsid w:val="478B2E94"/>
    <w:rsid w:val="47BF1BE1"/>
    <w:rsid w:val="47D76AC4"/>
    <w:rsid w:val="47DD737D"/>
    <w:rsid w:val="47F3FC15"/>
    <w:rsid w:val="47FEB29D"/>
    <w:rsid w:val="480D7C89"/>
    <w:rsid w:val="48523EE0"/>
    <w:rsid w:val="49076D34"/>
    <w:rsid w:val="497C8CDF"/>
    <w:rsid w:val="49FDA1DF"/>
    <w:rsid w:val="4A407C50"/>
    <w:rsid w:val="4A5E657A"/>
    <w:rsid w:val="4AC05487"/>
    <w:rsid w:val="4B7F4770"/>
    <w:rsid w:val="4BDF2531"/>
    <w:rsid w:val="4BF7CC6E"/>
    <w:rsid w:val="4BF7DFEF"/>
    <w:rsid w:val="4C0C20D5"/>
    <w:rsid w:val="4C7498DD"/>
    <w:rsid w:val="4D04165B"/>
    <w:rsid w:val="4D2717ED"/>
    <w:rsid w:val="4DCF2539"/>
    <w:rsid w:val="4DEE960A"/>
    <w:rsid w:val="4DFD8D81"/>
    <w:rsid w:val="4E6D76D3"/>
    <w:rsid w:val="4E6FD856"/>
    <w:rsid w:val="4EF60828"/>
    <w:rsid w:val="4EF7D87D"/>
    <w:rsid w:val="4F0FF31C"/>
    <w:rsid w:val="4F744081"/>
    <w:rsid w:val="4F79B256"/>
    <w:rsid w:val="4F7C6CFC"/>
    <w:rsid w:val="4F7D147B"/>
    <w:rsid w:val="4F870E32"/>
    <w:rsid w:val="4F984C8A"/>
    <w:rsid w:val="4FA79D37"/>
    <w:rsid w:val="4FAF7B58"/>
    <w:rsid w:val="4FBB6DE6"/>
    <w:rsid w:val="4FBF51A3"/>
    <w:rsid w:val="4FEBD57E"/>
    <w:rsid w:val="4FFB444B"/>
    <w:rsid w:val="4FFDAEDA"/>
    <w:rsid w:val="4FFF1741"/>
    <w:rsid w:val="4FFF3467"/>
    <w:rsid w:val="4FFF75A7"/>
    <w:rsid w:val="501B6A81"/>
    <w:rsid w:val="501E0C85"/>
    <w:rsid w:val="505E5526"/>
    <w:rsid w:val="50754551"/>
    <w:rsid w:val="50DDA234"/>
    <w:rsid w:val="50EF7D81"/>
    <w:rsid w:val="51F75A83"/>
    <w:rsid w:val="526D7CA2"/>
    <w:rsid w:val="5309E2A4"/>
    <w:rsid w:val="537F981F"/>
    <w:rsid w:val="539B439B"/>
    <w:rsid w:val="53BFD139"/>
    <w:rsid w:val="53E8D732"/>
    <w:rsid w:val="53EE367C"/>
    <w:rsid w:val="54B790E5"/>
    <w:rsid w:val="54D11E34"/>
    <w:rsid w:val="54EBA03B"/>
    <w:rsid w:val="54F40207"/>
    <w:rsid w:val="54F94B97"/>
    <w:rsid w:val="55D63DB0"/>
    <w:rsid w:val="563565ED"/>
    <w:rsid w:val="565FE4E8"/>
    <w:rsid w:val="56AD7A09"/>
    <w:rsid w:val="56F7691F"/>
    <w:rsid w:val="56FD5319"/>
    <w:rsid w:val="570566FB"/>
    <w:rsid w:val="573EE26A"/>
    <w:rsid w:val="573FC28F"/>
    <w:rsid w:val="576D604E"/>
    <w:rsid w:val="5777F9F2"/>
    <w:rsid w:val="577FF52E"/>
    <w:rsid w:val="57B73E41"/>
    <w:rsid w:val="57BF54C8"/>
    <w:rsid w:val="57BF643B"/>
    <w:rsid w:val="57BF6C7D"/>
    <w:rsid w:val="57CD506E"/>
    <w:rsid w:val="57D6D63E"/>
    <w:rsid w:val="57D70BBE"/>
    <w:rsid w:val="57D7C70C"/>
    <w:rsid w:val="57DBFE1C"/>
    <w:rsid w:val="57DCEAAB"/>
    <w:rsid w:val="57EA73B8"/>
    <w:rsid w:val="57F303DB"/>
    <w:rsid w:val="57FB583A"/>
    <w:rsid w:val="57FBA517"/>
    <w:rsid w:val="57FDB859"/>
    <w:rsid w:val="57FFCC95"/>
    <w:rsid w:val="58EF8499"/>
    <w:rsid w:val="58F6A6E0"/>
    <w:rsid w:val="5950F34D"/>
    <w:rsid w:val="59EC76FE"/>
    <w:rsid w:val="59F314EE"/>
    <w:rsid w:val="5ABF9F75"/>
    <w:rsid w:val="5ADA5158"/>
    <w:rsid w:val="5ADFFCF6"/>
    <w:rsid w:val="5AEF8C61"/>
    <w:rsid w:val="5AFB24BE"/>
    <w:rsid w:val="5AFB62D1"/>
    <w:rsid w:val="5B3F5F54"/>
    <w:rsid w:val="5B4F263B"/>
    <w:rsid w:val="5B505F62"/>
    <w:rsid w:val="5B5F8FF4"/>
    <w:rsid w:val="5B7E6F88"/>
    <w:rsid w:val="5BEB662A"/>
    <w:rsid w:val="5BFDBA23"/>
    <w:rsid w:val="5BFFF696"/>
    <w:rsid w:val="5C6B8B32"/>
    <w:rsid w:val="5CAFA4A9"/>
    <w:rsid w:val="5CC22998"/>
    <w:rsid w:val="5D5F5083"/>
    <w:rsid w:val="5D7DDFBD"/>
    <w:rsid w:val="5DB4E752"/>
    <w:rsid w:val="5DBFD76E"/>
    <w:rsid w:val="5DED5B6C"/>
    <w:rsid w:val="5DFB6096"/>
    <w:rsid w:val="5DFC6E13"/>
    <w:rsid w:val="5DFD4E98"/>
    <w:rsid w:val="5DFD888A"/>
    <w:rsid w:val="5DFF0B75"/>
    <w:rsid w:val="5E6F7719"/>
    <w:rsid w:val="5E7F4E5B"/>
    <w:rsid w:val="5E7F5EC2"/>
    <w:rsid w:val="5EDF5477"/>
    <w:rsid w:val="5EDFD794"/>
    <w:rsid w:val="5EE4753E"/>
    <w:rsid w:val="5F3BB96F"/>
    <w:rsid w:val="5F5F50D4"/>
    <w:rsid w:val="5F6FAC03"/>
    <w:rsid w:val="5F7752F4"/>
    <w:rsid w:val="5F8B606C"/>
    <w:rsid w:val="5FB97406"/>
    <w:rsid w:val="5FBD1ECF"/>
    <w:rsid w:val="5FBFA261"/>
    <w:rsid w:val="5FCF62C1"/>
    <w:rsid w:val="5FD72E70"/>
    <w:rsid w:val="5FD7D40A"/>
    <w:rsid w:val="5FE731C5"/>
    <w:rsid w:val="5FF2683D"/>
    <w:rsid w:val="5FF68CF0"/>
    <w:rsid w:val="5FF69EE4"/>
    <w:rsid w:val="5FF75CD9"/>
    <w:rsid w:val="5FFB035B"/>
    <w:rsid w:val="5FFEA049"/>
    <w:rsid w:val="5FFEDF0B"/>
    <w:rsid w:val="5FFF6825"/>
    <w:rsid w:val="5FFF8BB9"/>
    <w:rsid w:val="5FFF8C88"/>
    <w:rsid w:val="5FFF9CCA"/>
    <w:rsid w:val="5FFFAB9C"/>
    <w:rsid w:val="5FFFF8E3"/>
    <w:rsid w:val="60ABD5C4"/>
    <w:rsid w:val="61734BA9"/>
    <w:rsid w:val="61D70C94"/>
    <w:rsid w:val="625CE281"/>
    <w:rsid w:val="62B1465C"/>
    <w:rsid w:val="633D546F"/>
    <w:rsid w:val="639DC5BB"/>
    <w:rsid w:val="63BDFDFC"/>
    <w:rsid w:val="63F37DBF"/>
    <w:rsid w:val="64067962"/>
    <w:rsid w:val="65256DCE"/>
    <w:rsid w:val="654C7BEB"/>
    <w:rsid w:val="65563C7D"/>
    <w:rsid w:val="657D7A61"/>
    <w:rsid w:val="65C9123C"/>
    <w:rsid w:val="65E7AFC0"/>
    <w:rsid w:val="65F770C3"/>
    <w:rsid w:val="6672E29A"/>
    <w:rsid w:val="66BF60B1"/>
    <w:rsid w:val="66CD53EB"/>
    <w:rsid w:val="66CF60DC"/>
    <w:rsid w:val="67037E6A"/>
    <w:rsid w:val="67CE8C68"/>
    <w:rsid w:val="67D9BC3F"/>
    <w:rsid w:val="67DD40A6"/>
    <w:rsid w:val="67F0ED76"/>
    <w:rsid w:val="67F5CD5D"/>
    <w:rsid w:val="67FF06AD"/>
    <w:rsid w:val="691D7A27"/>
    <w:rsid w:val="69479817"/>
    <w:rsid w:val="697F9BDB"/>
    <w:rsid w:val="69CFF757"/>
    <w:rsid w:val="69EC0919"/>
    <w:rsid w:val="69EF698B"/>
    <w:rsid w:val="69EFF484"/>
    <w:rsid w:val="69F5DCC0"/>
    <w:rsid w:val="69FD68B0"/>
    <w:rsid w:val="69FF2A59"/>
    <w:rsid w:val="69FF4039"/>
    <w:rsid w:val="6A7F1787"/>
    <w:rsid w:val="6ABF01DA"/>
    <w:rsid w:val="6AC3993C"/>
    <w:rsid w:val="6ADC556D"/>
    <w:rsid w:val="6AF5F4FA"/>
    <w:rsid w:val="6B5F27B7"/>
    <w:rsid w:val="6BB1F07E"/>
    <w:rsid w:val="6BD640AF"/>
    <w:rsid w:val="6BDB6CC3"/>
    <w:rsid w:val="6BE02E3B"/>
    <w:rsid w:val="6BF3CD2C"/>
    <w:rsid w:val="6BF52E06"/>
    <w:rsid w:val="6BF9DE95"/>
    <w:rsid w:val="6BFD2FD1"/>
    <w:rsid w:val="6BFE6032"/>
    <w:rsid w:val="6BFF0300"/>
    <w:rsid w:val="6BFF551C"/>
    <w:rsid w:val="6BFFA4FC"/>
    <w:rsid w:val="6CAF3870"/>
    <w:rsid w:val="6CBE47EA"/>
    <w:rsid w:val="6CC90BA1"/>
    <w:rsid w:val="6CDCB2C2"/>
    <w:rsid w:val="6CF6C3A2"/>
    <w:rsid w:val="6CF73642"/>
    <w:rsid w:val="6D156B0B"/>
    <w:rsid w:val="6D6E49EC"/>
    <w:rsid w:val="6D7B7EB8"/>
    <w:rsid w:val="6D7D741B"/>
    <w:rsid w:val="6D9AC25C"/>
    <w:rsid w:val="6D9F4F01"/>
    <w:rsid w:val="6DBE3659"/>
    <w:rsid w:val="6DD75A4C"/>
    <w:rsid w:val="6DDF4CA0"/>
    <w:rsid w:val="6DDF542E"/>
    <w:rsid w:val="6DEDDC3F"/>
    <w:rsid w:val="6DEFE292"/>
    <w:rsid w:val="6DFC392F"/>
    <w:rsid w:val="6DFD4CFE"/>
    <w:rsid w:val="6DFD9B77"/>
    <w:rsid w:val="6DFDAA89"/>
    <w:rsid w:val="6DFE7772"/>
    <w:rsid w:val="6DFF0869"/>
    <w:rsid w:val="6E353A38"/>
    <w:rsid w:val="6E5B49FB"/>
    <w:rsid w:val="6E6BF9B1"/>
    <w:rsid w:val="6E6FF366"/>
    <w:rsid w:val="6EABF01F"/>
    <w:rsid w:val="6EAD2C99"/>
    <w:rsid w:val="6EBDE0C3"/>
    <w:rsid w:val="6EBF1AED"/>
    <w:rsid w:val="6ED93374"/>
    <w:rsid w:val="6EDD8997"/>
    <w:rsid w:val="6EEFF161"/>
    <w:rsid w:val="6EFA9EDD"/>
    <w:rsid w:val="6EFD1054"/>
    <w:rsid w:val="6EFD5C4C"/>
    <w:rsid w:val="6EFE570B"/>
    <w:rsid w:val="6F482301"/>
    <w:rsid w:val="6F577F7D"/>
    <w:rsid w:val="6F7B5431"/>
    <w:rsid w:val="6F7F7DD3"/>
    <w:rsid w:val="6F923EA8"/>
    <w:rsid w:val="6F952E77"/>
    <w:rsid w:val="6F9F73C2"/>
    <w:rsid w:val="6FBE761E"/>
    <w:rsid w:val="6FBF51DF"/>
    <w:rsid w:val="6FDEDBE4"/>
    <w:rsid w:val="6FDF068F"/>
    <w:rsid w:val="6FDF3DBF"/>
    <w:rsid w:val="6FE30298"/>
    <w:rsid w:val="6FED8BDE"/>
    <w:rsid w:val="6FEF08EE"/>
    <w:rsid w:val="6FEF89A0"/>
    <w:rsid w:val="6FFAF8C2"/>
    <w:rsid w:val="6FFBD7F2"/>
    <w:rsid w:val="6FFF3827"/>
    <w:rsid w:val="6FFF499D"/>
    <w:rsid w:val="716D39C2"/>
    <w:rsid w:val="717FD1E0"/>
    <w:rsid w:val="71BFC464"/>
    <w:rsid w:val="71EBFF86"/>
    <w:rsid w:val="71FBF2FD"/>
    <w:rsid w:val="72B7D771"/>
    <w:rsid w:val="72BD9807"/>
    <w:rsid w:val="72FD4B7E"/>
    <w:rsid w:val="72FEB210"/>
    <w:rsid w:val="734304E6"/>
    <w:rsid w:val="736F9BC4"/>
    <w:rsid w:val="73796A19"/>
    <w:rsid w:val="737FDB76"/>
    <w:rsid w:val="73AB3DB5"/>
    <w:rsid w:val="73AF9D38"/>
    <w:rsid w:val="73BF2610"/>
    <w:rsid w:val="73DFE267"/>
    <w:rsid w:val="73E3C422"/>
    <w:rsid w:val="73E766F6"/>
    <w:rsid w:val="73ED4347"/>
    <w:rsid w:val="73F7A890"/>
    <w:rsid w:val="73F7D6F7"/>
    <w:rsid w:val="73FD315C"/>
    <w:rsid w:val="73FD4F90"/>
    <w:rsid w:val="73FF31A5"/>
    <w:rsid w:val="73FF8213"/>
    <w:rsid w:val="74404DBF"/>
    <w:rsid w:val="746CDDA9"/>
    <w:rsid w:val="746FEC4A"/>
    <w:rsid w:val="747F3459"/>
    <w:rsid w:val="74B722ED"/>
    <w:rsid w:val="74FF2FD1"/>
    <w:rsid w:val="750202C6"/>
    <w:rsid w:val="7527AC87"/>
    <w:rsid w:val="7556D2CF"/>
    <w:rsid w:val="75854288"/>
    <w:rsid w:val="75ACA433"/>
    <w:rsid w:val="75AEF1EE"/>
    <w:rsid w:val="75B63A17"/>
    <w:rsid w:val="75BE4188"/>
    <w:rsid w:val="75E43974"/>
    <w:rsid w:val="75FB4DD7"/>
    <w:rsid w:val="75FD1E11"/>
    <w:rsid w:val="762A53DF"/>
    <w:rsid w:val="76B4114C"/>
    <w:rsid w:val="76BBB959"/>
    <w:rsid w:val="76DB46FE"/>
    <w:rsid w:val="76DE4CB4"/>
    <w:rsid w:val="76EF9D73"/>
    <w:rsid w:val="76F3C033"/>
    <w:rsid w:val="76FF915E"/>
    <w:rsid w:val="7726029C"/>
    <w:rsid w:val="77536A08"/>
    <w:rsid w:val="775566AA"/>
    <w:rsid w:val="777A1BBE"/>
    <w:rsid w:val="777B333F"/>
    <w:rsid w:val="777E997C"/>
    <w:rsid w:val="777FC2D1"/>
    <w:rsid w:val="777FD107"/>
    <w:rsid w:val="778FB9F4"/>
    <w:rsid w:val="77970FBC"/>
    <w:rsid w:val="7799C3BC"/>
    <w:rsid w:val="77AB5106"/>
    <w:rsid w:val="77B12134"/>
    <w:rsid w:val="77BB562A"/>
    <w:rsid w:val="77BE90B4"/>
    <w:rsid w:val="77BEB1C5"/>
    <w:rsid w:val="77BF5222"/>
    <w:rsid w:val="77CF8666"/>
    <w:rsid w:val="77D93642"/>
    <w:rsid w:val="77DFE029"/>
    <w:rsid w:val="77E5EF99"/>
    <w:rsid w:val="77E7D492"/>
    <w:rsid w:val="77EB03B4"/>
    <w:rsid w:val="77EEAE3C"/>
    <w:rsid w:val="77F2613B"/>
    <w:rsid w:val="77F4BB97"/>
    <w:rsid w:val="77F9BB96"/>
    <w:rsid w:val="77FD3506"/>
    <w:rsid w:val="77FD62A0"/>
    <w:rsid w:val="77FF05AF"/>
    <w:rsid w:val="77FF05BA"/>
    <w:rsid w:val="77FF0E73"/>
    <w:rsid w:val="77FF26D9"/>
    <w:rsid w:val="77FF289B"/>
    <w:rsid w:val="77FF6CDA"/>
    <w:rsid w:val="77FF79DB"/>
    <w:rsid w:val="77FF90D4"/>
    <w:rsid w:val="77FF957A"/>
    <w:rsid w:val="77FF9A21"/>
    <w:rsid w:val="788F00C3"/>
    <w:rsid w:val="78A21BA4"/>
    <w:rsid w:val="78AF1258"/>
    <w:rsid w:val="78B7FA15"/>
    <w:rsid w:val="78F330C8"/>
    <w:rsid w:val="78FED59F"/>
    <w:rsid w:val="78FF1813"/>
    <w:rsid w:val="796EAA5A"/>
    <w:rsid w:val="799E6CCA"/>
    <w:rsid w:val="79AD629D"/>
    <w:rsid w:val="79BF86E4"/>
    <w:rsid w:val="79D965A3"/>
    <w:rsid w:val="79DD0F4B"/>
    <w:rsid w:val="79DF043C"/>
    <w:rsid w:val="79DFAD64"/>
    <w:rsid w:val="79EF9FE2"/>
    <w:rsid w:val="79FD7A13"/>
    <w:rsid w:val="7A2D6402"/>
    <w:rsid w:val="7A7EEA67"/>
    <w:rsid w:val="7A7F8A98"/>
    <w:rsid w:val="7AAB1602"/>
    <w:rsid w:val="7AB7D38A"/>
    <w:rsid w:val="7AB92BEF"/>
    <w:rsid w:val="7ADD3BEF"/>
    <w:rsid w:val="7AFD96A2"/>
    <w:rsid w:val="7B395A48"/>
    <w:rsid w:val="7B3FCB9A"/>
    <w:rsid w:val="7B474682"/>
    <w:rsid w:val="7B6E184E"/>
    <w:rsid w:val="7B6F39FC"/>
    <w:rsid w:val="7B713B67"/>
    <w:rsid w:val="7B7D2899"/>
    <w:rsid w:val="7B7FF83E"/>
    <w:rsid w:val="7B9F0CFF"/>
    <w:rsid w:val="7BAB19AD"/>
    <w:rsid w:val="7BB1829D"/>
    <w:rsid w:val="7BB520FF"/>
    <w:rsid w:val="7BBF1197"/>
    <w:rsid w:val="7BC38B03"/>
    <w:rsid w:val="7BC5983C"/>
    <w:rsid w:val="7BC8142C"/>
    <w:rsid w:val="7BD5DC74"/>
    <w:rsid w:val="7BDF5145"/>
    <w:rsid w:val="7BEF763E"/>
    <w:rsid w:val="7BF264B1"/>
    <w:rsid w:val="7BF6322C"/>
    <w:rsid w:val="7BFD46FF"/>
    <w:rsid w:val="7BFD72C7"/>
    <w:rsid w:val="7BFE2073"/>
    <w:rsid w:val="7BFF37B4"/>
    <w:rsid w:val="7C4371FA"/>
    <w:rsid w:val="7C5F7B49"/>
    <w:rsid w:val="7C7E3130"/>
    <w:rsid w:val="7C9B6FCC"/>
    <w:rsid w:val="7CA9A388"/>
    <w:rsid w:val="7CB63234"/>
    <w:rsid w:val="7CCB209C"/>
    <w:rsid w:val="7CE984B6"/>
    <w:rsid w:val="7CFCB6BC"/>
    <w:rsid w:val="7CFFBBA7"/>
    <w:rsid w:val="7CFFFE15"/>
    <w:rsid w:val="7D3111CD"/>
    <w:rsid w:val="7D3FDB26"/>
    <w:rsid w:val="7D46C2E8"/>
    <w:rsid w:val="7D4F2EFE"/>
    <w:rsid w:val="7D717D97"/>
    <w:rsid w:val="7D738F8A"/>
    <w:rsid w:val="7D7B6867"/>
    <w:rsid w:val="7D7F5410"/>
    <w:rsid w:val="7D9F85BC"/>
    <w:rsid w:val="7DAF4229"/>
    <w:rsid w:val="7DBA4ED2"/>
    <w:rsid w:val="7DBBC7D6"/>
    <w:rsid w:val="7DBD8D37"/>
    <w:rsid w:val="7DD62A4F"/>
    <w:rsid w:val="7DDEA1AE"/>
    <w:rsid w:val="7DDEF212"/>
    <w:rsid w:val="7DDF8691"/>
    <w:rsid w:val="7DED0C9D"/>
    <w:rsid w:val="7DF0E673"/>
    <w:rsid w:val="7DF68F96"/>
    <w:rsid w:val="7DF9C072"/>
    <w:rsid w:val="7DFD6A0E"/>
    <w:rsid w:val="7DFD7BB3"/>
    <w:rsid w:val="7DFF21E3"/>
    <w:rsid w:val="7DFF48CA"/>
    <w:rsid w:val="7DFF5832"/>
    <w:rsid w:val="7DFFEF43"/>
    <w:rsid w:val="7E3753FB"/>
    <w:rsid w:val="7E3D1F0D"/>
    <w:rsid w:val="7E3F57C7"/>
    <w:rsid w:val="7E57552E"/>
    <w:rsid w:val="7E5F413E"/>
    <w:rsid w:val="7E6F0C9F"/>
    <w:rsid w:val="7E7DAD4C"/>
    <w:rsid w:val="7E7FB0E7"/>
    <w:rsid w:val="7E7FF74F"/>
    <w:rsid w:val="7E9FF590"/>
    <w:rsid w:val="7EAF6588"/>
    <w:rsid w:val="7EBBD2CC"/>
    <w:rsid w:val="7EBF98A8"/>
    <w:rsid w:val="7EBFF57E"/>
    <w:rsid w:val="7EC5BFF9"/>
    <w:rsid w:val="7EC62364"/>
    <w:rsid w:val="7EC761F6"/>
    <w:rsid w:val="7ED67529"/>
    <w:rsid w:val="7EDB0CAB"/>
    <w:rsid w:val="7EDC3C21"/>
    <w:rsid w:val="7EDD223A"/>
    <w:rsid w:val="7EDE59C7"/>
    <w:rsid w:val="7EDFBB42"/>
    <w:rsid w:val="7EE5DBAF"/>
    <w:rsid w:val="7EE5F7FB"/>
    <w:rsid w:val="7EEA6393"/>
    <w:rsid w:val="7EEC64E0"/>
    <w:rsid w:val="7EECC7C8"/>
    <w:rsid w:val="7EED5260"/>
    <w:rsid w:val="7EEF7EC2"/>
    <w:rsid w:val="7EEFA654"/>
    <w:rsid w:val="7EF5966C"/>
    <w:rsid w:val="7EF7248F"/>
    <w:rsid w:val="7EF776E4"/>
    <w:rsid w:val="7EFAAC57"/>
    <w:rsid w:val="7EFC3712"/>
    <w:rsid w:val="7EFD13B1"/>
    <w:rsid w:val="7EFEF78D"/>
    <w:rsid w:val="7EFF7EFF"/>
    <w:rsid w:val="7EFFB2F9"/>
    <w:rsid w:val="7F1E42EF"/>
    <w:rsid w:val="7F27C0B6"/>
    <w:rsid w:val="7F2AF3D7"/>
    <w:rsid w:val="7F3E9481"/>
    <w:rsid w:val="7F3F3108"/>
    <w:rsid w:val="7F3F3548"/>
    <w:rsid w:val="7F3F3C7B"/>
    <w:rsid w:val="7F56DAFE"/>
    <w:rsid w:val="7F5F5D0B"/>
    <w:rsid w:val="7F6502E2"/>
    <w:rsid w:val="7F66CC41"/>
    <w:rsid w:val="7F6B3E54"/>
    <w:rsid w:val="7F6FD7C5"/>
    <w:rsid w:val="7F72F399"/>
    <w:rsid w:val="7F759004"/>
    <w:rsid w:val="7F7789F4"/>
    <w:rsid w:val="7F77E79A"/>
    <w:rsid w:val="7F786A64"/>
    <w:rsid w:val="7F7B731F"/>
    <w:rsid w:val="7F7BBC52"/>
    <w:rsid w:val="7F7C856A"/>
    <w:rsid w:val="7F7D9A97"/>
    <w:rsid w:val="7F7E5664"/>
    <w:rsid w:val="7F7F5A38"/>
    <w:rsid w:val="7F7F7CC2"/>
    <w:rsid w:val="7F7F934E"/>
    <w:rsid w:val="7F897BD6"/>
    <w:rsid w:val="7F9BC749"/>
    <w:rsid w:val="7F9C0FC0"/>
    <w:rsid w:val="7FA555A1"/>
    <w:rsid w:val="7FA70BF6"/>
    <w:rsid w:val="7FAF4354"/>
    <w:rsid w:val="7FB0E184"/>
    <w:rsid w:val="7FB23996"/>
    <w:rsid w:val="7FB3D288"/>
    <w:rsid w:val="7FB529A9"/>
    <w:rsid w:val="7FB62BD3"/>
    <w:rsid w:val="7FB76794"/>
    <w:rsid w:val="7FB7D4E1"/>
    <w:rsid w:val="7FB88993"/>
    <w:rsid w:val="7FBB7102"/>
    <w:rsid w:val="7FBB9503"/>
    <w:rsid w:val="7FBDF45F"/>
    <w:rsid w:val="7FBE03F6"/>
    <w:rsid w:val="7FBE9DAF"/>
    <w:rsid w:val="7FBF0095"/>
    <w:rsid w:val="7FBF0B1B"/>
    <w:rsid w:val="7FBF1863"/>
    <w:rsid w:val="7FBF4C15"/>
    <w:rsid w:val="7FBF7DA0"/>
    <w:rsid w:val="7FBFA482"/>
    <w:rsid w:val="7FBFC955"/>
    <w:rsid w:val="7FBFE575"/>
    <w:rsid w:val="7FC3D81E"/>
    <w:rsid w:val="7FCF19C0"/>
    <w:rsid w:val="7FCF1CE2"/>
    <w:rsid w:val="7FCFD41A"/>
    <w:rsid w:val="7FD67A30"/>
    <w:rsid w:val="7FD6E206"/>
    <w:rsid w:val="7FD76F50"/>
    <w:rsid w:val="7FD98D34"/>
    <w:rsid w:val="7FD9F793"/>
    <w:rsid w:val="7FD9FEF1"/>
    <w:rsid w:val="7FDAF072"/>
    <w:rsid w:val="7FDDD9D8"/>
    <w:rsid w:val="7FDE89A0"/>
    <w:rsid w:val="7FDF315C"/>
    <w:rsid w:val="7FDF5AC2"/>
    <w:rsid w:val="7FDF6AD8"/>
    <w:rsid w:val="7FDF9B19"/>
    <w:rsid w:val="7FDFE65B"/>
    <w:rsid w:val="7FDFFC64"/>
    <w:rsid w:val="7FE3FCD9"/>
    <w:rsid w:val="7FE599C5"/>
    <w:rsid w:val="7FE63922"/>
    <w:rsid w:val="7FE7AB9C"/>
    <w:rsid w:val="7FE7ECF0"/>
    <w:rsid w:val="7FE81034"/>
    <w:rsid w:val="7FE92178"/>
    <w:rsid w:val="7FEAAE06"/>
    <w:rsid w:val="7FEB51C1"/>
    <w:rsid w:val="7FEBF2DD"/>
    <w:rsid w:val="7FEE0E02"/>
    <w:rsid w:val="7FEE830E"/>
    <w:rsid w:val="7FEF6105"/>
    <w:rsid w:val="7FF327A1"/>
    <w:rsid w:val="7FF3919F"/>
    <w:rsid w:val="7FF3A1E5"/>
    <w:rsid w:val="7FF65AB3"/>
    <w:rsid w:val="7FF6BB9B"/>
    <w:rsid w:val="7FF71467"/>
    <w:rsid w:val="7FF7A2F0"/>
    <w:rsid w:val="7FF7C276"/>
    <w:rsid w:val="7FF7C4C3"/>
    <w:rsid w:val="7FF7C6D1"/>
    <w:rsid w:val="7FF7E96C"/>
    <w:rsid w:val="7FF90A92"/>
    <w:rsid w:val="7FF95D0F"/>
    <w:rsid w:val="7FFB93F3"/>
    <w:rsid w:val="7FFBA1FF"/>
    <w:rsid w:val="7FFBBC25"/>
    <w:rsid w:val="7FFC8C66"/>
    <w:rsid w:val="7FFD300A"/>
    <w:rsid w:val="7FFD6870"/>
    <w:rsid w:val="7FFD88A6"/>
    <w:rsid w:val="7FFDA253"/>
    <w:rsid w:val="7FFDC4D6"/>
    <w:rsid w:val="7FFE451E"/>
    <w:rsid w:val="7FFED850"/>
    <w:rsid w:val="7FFF00F5"/>
    <w:rsid w:val="7FFF0489"/>
    <w:rsid w:val="7FFF0DBA"/>
    <w:rsid w:val="7FFF70FE"/>
    <w:rsid w:val="7FFF9FC4"/>
    <w:rsid w:val="7FFFA05A"/>
    <w:rsid w:val="7FFFCCE0"/>
    <w:rsid w:val="7FFFFC7C"/>
    <w:rsid w:val="87AF1FAB"/>
    <w:rsid w:val="89EF1115"/>
    <w:rsid w:val="8BFAF91E"/>
    <w:rsid w:val="8E7955B7"/>
    <w:rsid w:val="8EDFA603"/>
    <w:rsid w:val="8FB745D7"/>
    <w:rsid w:val="8FDD5192"/>
    <w:rsid w:val="8FF912D1"/>
    <w:rsid w:val="8FFE708D"/>
    <w:rsid w:val="8FFF79A5"/>
    <w:rsid w:val="92DBDA1C"/>
    <w:rsid w:val="93AFE014"/>
    <w:rsid w:val="93FF13A3"/>
    <w:rsid w:val="957EA9F9"/>
    <w:rsid w:val="95BE368D"/>
    <w:rsid w:val="95FF0F66"/>
    <w:rsid w:val="97A7804D"/>
    <w:rsid w:val="97DDAC9B"/>
    <w:rsid w:val="97FDF642"/>
    <w:rsid w:val="97FF54D9"/>
    <w:rsid w:val="97FFD657"/>
    <w:rsid w:val="994F6E57"/>
    <w:rsid w:val="99FD9A79"/>
    <w:rsid w:val="9AB71A19"/>
    <w:rsid w:val="9B2FAAA4"/>
    <w:rsid w:val="9B5F0363"/>
    <w:rsid w:val="9B6CFF4C"/>
    <w:rsid w:val="9B7B0C02"/>
    <w:rsid w:val="9C7EAEFA"/>
    <w:rsid w:val="9D7552A4"/>
    <w:rsid w:val="9D9B155B"/>
    <w:rsid w:val="9DFEAF1D"/>
    <w:rsid w:val="9F3A7456"/>
    <w:rsid w:val="9F6F037E"/>
    <w:rsid w:val="9FB8974D"/>
    <w:rsid w:val="9FDF3798"/>
    <w:rsid w:val="9FE53BBE"/>
    <w:rsid w:val="9FF787E6"/>
    <w:rsid w:val="9FFB57F9"/>
    <w:rsid w:val="9FFD3DFA"/>
    <w:rsid w:val="9FFDD01C"/>
    <w:rsid w:val="9FFFF0AC"/>
    <w:rsid w:val="A0FF94D2"/>
    <w:rsid w:val="A5AFA189"/>
    <w:rsid w:val="A6196252"/>
    <w:rsid w:val="A765150A"/>
    <w:rsid w:val="A7B7A554"/>
    <w:rsid w:val="A7BF17B9"/>
    <w:rsid w:val="A7DD9F46"/>
    <w:rsid w:val="A7FE63AC"/>
    <w:rsid w:val="A7FF26F8"/>
    <w:rsid w:val="A7FF7EB3"/>
    <w:rsid w:val="A9367015"/>
    <w:rsid w:val="AAFF0913"/>
    <w:rsid w:val="AB2930D4"/>
    <w:rsid w:val="AB2C088C"/>
    <w:rsid w:val="AB3A4FCE"/>
    <w:rsid w:val="AB79C228"/>
    <w:rsid w:val="AB7A5319"/>
    <w:rsid w:val="ABDF395A"/>
    <w:rsid w:val="ABFC0FAE"/>
    <w:rsid w:val="ACBF8657"/>
    <w:rsid w:val="AD7ACED4"/>
    <w:rsid w:val="ADB8C6DB"/>
    <w:rsid w:val="ADD7861B"/>
    <w:rsid w:val="ADE7B220"/>
    <w:rsid w:val="ADFD32D0"/>
    <w:rsid w:val="ADFFFC8F"/>
    <w:rsid w:val="AEBDC4E7"/>
    <w:rsid w:val="AED7E765"/>
    <w:rsid w:val="AEF721AE"/>
    <w:rsid w:val="AF2F108A"/>
    <w:rsid w:val="AF7F1C7C"/>
    <w:rsid w:val="AFBBC1FA"/>
    <w:rsid w:val="AFBEB1A1"/>
    <w:rsid w:val="AFBF0A2A"/>
    <w:rsid w:val="AFBFC2D2"/>
    <w:rsid w:val="AFEEE953"/>
    <w:rsid w:val="AFF5104E"/>
    <w:rsid w:val="AFF9D0D8"/>
    <w:rsid w:val="AFFABD92"/>
    <w:rsid w:val="AFFDDC72"/>
    <w:rsid w:val="AFFF005E"/>
    <w:rsid w:val="AFFFE5F0"/>
    <w:rsid w:val="B26DE713"/>
    <w:rsid w:val="B2CF1C85"/>
    <w:rsid w:val="B3BE0E5E"/>
    <w:rsid w:val="B3D5F34E"/>
    <w:rsid w:val="B3FAB9AA"/>
    <w:rsid w:val="B3FE7C29"/>
    <w:rsid w:val="B3FFF055"/>
    <w:rsid w:val="B46B6248"/>
    <w:rsid w:val="B4E566F5"/>
    <w:rsid w:val="B4EA3004"/>
    <w:rsid w:val="B4EF110C"/>
    <w:rsid w:val="B57B978F"/>
    <w:rsid w:val="B5ADC58A"/>
    <w:rsid w:val="B5FE9E0E"/>
    <w:rsid w:val="B5FF0885"/>
    <w:rsid w:val="B5FF558F"/>
    <w:rsid w:val="B6DBC734"/>
    <w:rsid w:val="B6DE9D44"/>
    <w:rsid w:val="B6F73C72"/>
    <w:rsid w:val="B6FA42C0"/>
    <w:rsid w:val="B74EE390"/>
    <w:rsid w:val="B75F35C6"/>
    <w:rsid w:val="B75F61B9"/>
    <w:rsid w:val="B77E57C9"/>
    <w:rsid w:val="B79FABEE"/>
    <w:rsid w:val="B7A7071A"/>
    <w:rsid w:val="B7BF872A"/>
    <w:rsid w:val="B7F64342"/>
    <w:rsid w:val="B7FB24A2"/>
    <w:rsid w:val="B7FC5948"/>
    <w:rsid w:val="B7FDCF2F"/>
    <w:rsid w:val="B7FE0FB4"/>
    <w:rsid w:val="B7FEC361"/>
    <w:rsid w:val="B86DA9EB"/>
    <w:rsid w:val="B8FC9025"/>
    <w:rsid w:val="B9DBDA9D"/>
    <w:rsid w:val="B9DFE67F"/>
    <w:rsid w:val="B9FFA9AA"/>
    <w:rsid w:val="BADDD824"/>
    <w:rsid w:val="BAFE612D"/>
    <w:rsid w:val="BB2FA9FD"/>
    <w:rsid w:val="BB54CB39"/>
    <w:rsid w:val="BB8F88F4"/>
    <w:rsid w:val="BBACED59"/>
    <w:rsid w:val="BBAFC998"/>
    <w:rsid w:val="BBBE2BE7"/>
    <w:rsid w:val="BBBFCC85"/>
    <w:rsid w:val="BBD14CB8"/>
    <w:rsid w:val="BBD58F49"/>
    <w:rsid w:val="BBDF2B55"/>
    <w:rsid w:val="BBED44C1"/>
    <w:rsid w:val="BBFB295E"/>
    <w:rsid w:val="BBFF85CA"/>
    <w:rsid w:val="BC5B1CCA"/>
    <w:rsid w:val="BCEF4C4F"/>
    <w:rsid w:val="BCEF60B8"/>
    <w:rsid w:val="BCFB6254"/>
    <w:rsid w:val="BD3E756C"/>
    <w:rsid w:val="BD4F2B27"/>
    <w:rsid w:val="BDB71EF0"/>
    <w:rsid w:val="BDBF54A9"/>
    <w:rsid w:val="BDDBCE35"/>
    <w:rsid w:val="BDDEBE24"/>
    <w:rsid w:val="BDEF2BF6"/>
    <w:rsid w:val="BDEF6086"/>
    <w:rsid w:val="BDFD761E"/>
    <w:rsid w:val="BDFF1D70"/>
    <w:rsid w:val="BDFFB543"/>
    <w:rsid w:val="BE1FF233"/>
    <w:rsid w:val="BE5A3A84"/>
    <w:rsid w:val="BE5F7A2E"/>
    <w:rsid w:val="BE63A62A"/>
    <w:rsid w:val="BE6F38B3"/>
    <w:rsid w:val="BE9F6E95"/>
    <w:rsid w:val="BEA4CB81"/>
    <w:rsid w:val="BEB42B2C"/>
    <w:rsid w:val="BEBDD262"/>
    <w:rsid w:val="BED6755A"/>
    <w:rsid w:val="BEDEC25E"/>
    <w:rsid w:val="BEDF149E"/>
    <w:rsid w:val="BEF18659"/>
    <w:rsid w:val="BEF30C45"/>
    <w:rsid w:val="BEF5F139"/>
    <w:rsid w:val="BEFEBE15"/>
    <w:rsid w:val="BF0FD722"/>
    <w:rsid w:val="BF3DD0A0"/>
    <w:rsid w:val="BF5EDC60"/>
    <w:rsid w:val="BF676017"/>
    <w:rsid w:val="BF6F2F9D"/>
    <w:rsid w:val="BF7A2AFE"/>
    <w:rsid w:val="BF7F4C34"/>
    <w:rsid w:val="BF8D0EF2"/>
    <w:rsid w:val="BF9E0A2D"/>
    <w:rsid w:val="BFD5C3EA"/>
    <w:rsid w:val="BFDDD773"/>
    <w:rsid w:val="BFDDFE19"/>
    <w:rsid w:val="BFDF3C46"/>
    <w:rsid w:val="BFDFB210"/>
    <w:rsid w:val="BFDFD876"/>
    <w:rsid w:val="BFE154BB"/>
    <w:rsid w:val="BFED8EE8"/>
    <w:rsid w:val="BFEF13DC"/>
    <w:rsid w:val="BFEFE014"/>
    <w:rsid w:val="BFEFE045"/>
    <w:rsid w:val="BFF34924"/>
    <w:rsid w:val="BFF71612"/>
    <w:rsid w:val="BFFA40DF"/>
    <w:rsid w:val="BFFA853F"/>
    <w:rsid w:val="BFFB174A"/>
    <w:rsid w:val="BFFDF4B3"/>
    <w:rsid w:val="BFFFFEC5"/>
    <w:rsid w:val="C1CB4DC8"/>
    <w:rsid w:val="C3ED8A16"/>
    <w:rsid w:val="C3EF0AFE"/>
    <w:rsid w:val="C63B5BAA"/>
    <w:rsid w:val="C6F28A69"/>
    <w:rsid w:val="C6FEEC2A"/>
    <w:rsid w:val="C75CCC5B"/>
    <w:rsid w:val="C77F3BAB"/>
    <w:rsid w:val="C7BF1CE2"/>
    <w:rsid w:val="C7CB7E9A"/>
    <w:rsid w:val="C7EF7BD6"/>
    <w:rsid w:val="C7F199F0"/>
    <w:rsid w:val="C7FB5FF9"/>
    <w:rsid w:val="C7FB6748"/>
    <w:rsid w:val="C7FBDDB1"/>
    <w:rsid w:val="C7FEE3F2"/>
    <w:rsid w:val="C9DC3D59"/>
    <w:rsid w:val="C9F567AF"/>
    <w:rsid w:val="CADE97E9"/>
    <w:rsid w:val="CAE6F980"/>
    <w:rsid w:val="CB7FFEDC"/>
    <w:rsid w:val="CBDD82CC"/>
    <w:rsid w:val="CBF70309"/>
    <w:rsid w:val="CBFA255D"/>
    <w:rsid w:val="CBFDC1B3"/>
    <w:rsid w:val="CBFE1C69"/>
    <w:rsid w:val="CCD5BBC0"/>
    <w:rsid w:val="CCDFBA3E"/>
    <w:rsid w:val="CCEE88D8"/>
    <w:rsid w:val="CD7FBA99"/>
    <w:rsid w:val="CDBB4885"/>
    <w:rsid w:val="CDE7FA5F"/>
    <w:rsid w:val="CE7B1E9E"/>
    <w:rsid w:val="CE7E69AE"/>
    <w:rsid w:val="CECFCBE5"/>
    <w:rsid w:val="CEE59333"/>
    <w:rsid w:val="CEFD17AD"/>
    <w:rsid w:val="CEFEDB53"/>
    <w:rsid w:val="CF4EABCA"/>
    <w:rsid w:val="CF7D8056"/>
    <w:rsid w:val="CF86D759"/>
    <w:rsid w:val="CFBF396C"/>
    <w:rsid w:val="CFE72F4C"/>
    <w:rsid w:val="CFEE566B"/>
    <w:rsid w:val="CFF747C8"/>
    <w:rsid w:val="CFFD5FA9"/>
    <w:rsid w:val="D1CDA690"/>
    <w:rsid w:val="D1FC5745"/>
    <w:rsid w:val="D28D6C84"/>
    <w:rsid w:val="D2FBBACB"/>
    <w:rsid w:val="D2FED614"/>
    <w:rsid w:val="D2FF1E9A"/>
    <w:rsid w:val="D31A767F"/>
    <w:rsid w:val="D3292533"/>
    <w:rsid w:val="D3DE3A4F"/>
    <w:rsid w:val="D3F72B10"/>
    <w:rsid w:val="D3FF79A1"/>
    <w:rsid w:val="D4D44ED1"/>
    <w:rsid w:val="D57DCB44"/>
    <w:rsid w:val="D62B3930"/>
    <w:rsid w:val="D6BF2D5D"/>
    <w:rsid w:val="D6DF258F"/>
    <w:rsid w:val="D6DFCC64"/>
    <w:rsid w:val="D6ED3709"/>
    <w:rsid w:val="D6FB2067"/>
    <w:rsid w:val="D6FDDC73"/>
    <w:rsid w:val="D6FECA2B"/>
    <w:rsid w:val="D785F5FC"/>
    <w:rsid w:val="D7967E19"/>
    <w:rsid w:val="D7B829D3"/>
    <w:rsid w:val="D7D79B28"/>
    <w:rsid w:val="D7DFDCBC"/>
    <w:rsid w:val="D7F1CF52"/>
    <w:rsid w:val="D7FE6E4D"/>
    <w:rsid w:val="D7FFCACB"/>
    <w:rsid w:val="D9AD66C2"/>
    <w:rsid w:val="D9D5F68B"/>
    <w:rsid w:val="D9F7551D"/>
    <w:rsid w:val="D9F9F9B7"/>
    <w:rsid w:val="DA27403F"/>
    <w:rsid w:val="DA79A621"/>
    <w:rsid w:val="DA9A8F9F"/>
    <w:rsid w:val="DADD3A18"/>
    <w:rsid w:val="DAEA01D0"/>
    <w:rsid w:val="DAEC1E79"/>
    <w:rsid w:val="DAFF43AF"/>
    <w:rsid w:val="DAFF9CF7"/>
    <w:rsid w:val="DB0A5562"/>
    <w:rsid w:val="DB3FB868"/>
    <w:rsid w:val="DB5D2C98"/>
    <w:rsid w:val="DB962256"/>
    <w:rsid w:val="DB9D2075"/>
    <w:rsid w:val="DBBF2E07"/>
    <w:rsid w:val="DBC62380"/>
    <w:rsid w:val="DBEF6834"/>
    <w:rsid w:val="DBF6CF67"/>
    <w:rsid w:val="DBF7F5A4"/>
    <w:rsid w:val="DBFBABDE"/>
    <w:rsid w:val="DD3BAAD9"/>
    <w:rsid w:val="DDBF6002"/>
    <w:rsid w:val="DDDB4954"/>
    <w:rsid w:val="DDDBFB8E"/>
    <w:rsid w:val="DDFD075A"/>
    <w:rsid w:val="DDFD159D"/>
    <w:rsid w:val="DE733527"/>
    <w:rsid w:val="DE7B41C1"/>
    <w:rsid w:val="DE7E52DA"/>
    <w:rsid w:val="DEB4176E"/>
    <w:rsid w:val="DEE72405"/>
    <w:rsid w:val="DEEF9D4B"/>
    <w:rsid w:val="DEEFB291"/>
    <w:rsid w:val="DEF77F83"/>
    <w:rsid w:val="DEF7997B"/>
    <w:rsid w:val="DEFDA28B"/>
    <w:rsid w:val="DEFDB18B"/>
    <w:rsid w:val="DF0F8C2F"/>
    <w:rsid w:val="DF3E6615"/>
    <w:rsid w:val="DF3FCB82"/>
    <w:rsid w:val="DF7D3739"/>
    <w:rsid w:val="DF7D770B"/>
    <w:rsid w:val="DF7D9CCA"/>
    <w:rsid w:val="DF8E0CEB"/>
    <w:rsid w:val="DFAF53E3"/>
    <w:rsid w:val="DFBA344F"/>
    <w:rsid w:val="DFBD5342"/>
    <w:rsid w:val="DFCE410C"/>
    <w:rsid w:val="DFCFB06F"/>
    <w:rsid w:val="DFD92274"/>
    <w:rsid w:val="DFDB5CB3"/>
    <w:rsid w:val="DFDFDD22"/>
    <w:rsid w:val="DFE2519C"/>
    <w:rsid w:val="DFEF7613"/>
    <w:rsid w:val="DFF3814C"/>
    <w:rsid w:val="DFFB6CBF"/>
    <w:rsid w:val="DFFB8B8C"/>
    <w:rsid w:val="DFFE9E43"/>
    <w:rsid w:val="DFFFEB13"/>
    <w:rsid w:val="E0FB27A6"/>
    <w:rsid w:val="E372DE6E"/>
    <w:rsid w:val="E37F80BE"/>
    <w:rsid w:val="E3ADF181"/>
    <w:rsid w:val="E3DFC945"/>
    <w:rsid w:val="E3F7A626"/>
    <w:rsid w:val="E5BF16F1"/>
    <w:rsid w:val="E623D477"/>
    <w:rsid w:val="E67F4AFA"/>
    <w:rsid w:val="E6BFE0CA"/>
    <w:rsid w:val="E6F6DB14"/>
    <w:rsid w:val="E6F75023"/>
    <w:rsid w:val="E6FE5FD9"/>
    <w:rsid w:val="E76D6414"/>
    <w:rsid w:val="E77A6582"/>
    <w:rsid w:val="E79BA466"/>
    <w:rsid w:val="E7AEA25C"/>
    <w:rsid w:val="E7C7A6FD"/>
    <w:rsid w:val="E7D4790C"/>
    <w:rsid w:val="E7EB3F93"/>
    <w:rsid w:val="E7F51C8F"/>
    <w:rsid w:val="E7F64672"/>
    <w:rsid w:val="E7F79AA8"/>
    <w:rsid w:val="E7F9A29A"/>
    <w:rsid w:val="E7FD2F76"/>
    <w:rsid w:val="E7FF00C6"/>
    <w:rsid w:val="E97C858C"/>
    <w:rsid w:val="E9BC7C84"/>
    <w:rsid w:val="E9C7424A"/>
    <w:rsid w:val="E9D36596"/>
    <w:rsid w:val="E9FE713E"/>
    <w:rsid w:val="EA79EC09"/>
    <w:rsid w:val="EAD7F445"/>
    <w:rsid w:val="EAFB7B31"/>
    <w:rsid w:val="EAFF3383"/>
    <w:rsid w:val="EAFF4AAE"/>
    <w:rsid w:val="EB2A6D31"/>
    <w:rsid w:val="EB3F2B87"/>
    <w:rsid w:val="EBA36E52"/>
    <w:rsid w:val="EBBEEEFA"/>
    <w:rsid w:val="EBBFE4E4"/>
    <w:rsid w:val="EBD7F1B7"/>
    <w:rsid w:val="EBEF1299"/>
    <w:rsid w:val="EBFF8599"/>
    <w:rsid w:val="EC7AA335"/>
    <w:rsid w:val="ECDBB442"/>
    <w:rsid w:val="ECDFAE68"/>
    <w:rsid w:val="ECFFB624"/>
    <w:rsid w:val="ED2F9B38"/>
    <w:rsid w:val="ED78261A"/>
    <w:rsid w:val="EDA5F919"/>
    <w:rsid w:val="EDBECE26"/>
    <w:rsid w:val="EDBF4E97"/>
    <w:rsid w:val="EDBFD544"/>
    <w:rsid w:val="EDDFBA2F"/>
    <w:rsid w:val="EDF28D04"/>
    <w:rsid w:val="EDF5403F"/>
    <w:rsid w:val="EDF70B48"/>
    <w:rsid w:val="EDF7358E"/>
    <w:rsid w:val="EDFAF87F"/>
    <w:rsid w:val="EDFF32CE"/>
    <w:rsid w:val="EE0ED2D5"/>
    <w:rsid w:val="EE6F3C1F"/>
    <w:rsid w:val="EE77570E"/>
    <w:rsid w:val="EEA7166C"/>
    <w:rsid w:val="EEB71E93"/>
    <w:rsid w:val="EEBE517C"/>
    <w:rsid w:val="EEBF8464"/>
    <w:rsid w:val="EEFB5A6F"/>
    <w:rsid w:val="EEFBE3A6"/>
    <w:rsid w:val="EEFDC644"/>
    <w:rsid w:val="EEFE052A"/>
    <w:rsid w:val="EEFF3DEB"/>
    <w:rsid w:val="EF2A6D5C"/>
    <w:rsid w:val="EF5F39F5"/>
    <w:rsid w:val="EF62C14B"/>
    <w:rsid w:val="EF76D439"/>
    <w:rsid w:val="EF79C834"/>
    <w:rsid w:val="EF7A8DEC"/>
    <w:rsid w:val="EF7EB566"/>
    <w:rsid w:val="EF7EEA62"/>
    <w:rsid w:val="EF7FD169"/>
    <w:rsid w:val="EF858B98"/>
    <w:rsid w:val="EF8F89BC"/>
    <w:rsid w:val="EF9E803C"/>
    <w:rsid w:val="EF9F449C"/>
    <w:rsid w:val="EFB7B9D1"/>
    <w:rsid w:val="EFBFB653"/>
    <w:rsid w:val="EFC53ABB"/>
    <w:rsid w:val="EFCF4169"/>
    <w:rsid w:val="EFD5F26A"/>
    <w:rsid w:val="EFDD6CB9"/>
    <w:rsid w:val="EFDFCA73"/>
    <w:rsid w:val="EFE786CC"/>
    <w:rsid w:val="EFED8830"/>
    <w:rsid w:val="EFEDCEAF"/>
    <w:rsid w:val="EFEE30E3"/>
    <w:rsid w:val="EFEF8C5A"/>
    <w:rsid w:val="EFF717C5"/>
    <w:rsid w:val="EFF7383B"/>
    <w:rsid w:val="EFF75151"/>
    <w:rsid w:val="EFFB35EC"/>
    <w:rsid w:val="EFFD0121"/>
    <w:rsid w:val="EFFDB093"/>
    <w:rsid w:val="EFFDC2A9"/>
    <w:rsid w:val="EFFED7E9"/>
    <w:rsid w:val="EFFEE6E8"/>
    <w:rsid w:val="EFFF6402"/>
    <w:rsid w:val="EFFF8238"/>
    <w:rsid w:val="F0976CBF"/>
    <w:rsid w:val="F12AB9DC"/>
    <w:rsid w:val="F1F4B9E8"/>
    <w:rsid w:val="F1FE91C3"/>
    <w:rsid w:val="F1FF4B9A"/>
    <w:rsid w:val="F1FF5DC5"/>
    <w:rsid w:val="F2992217"/>
    <w:rsid w:val="F2FF1B40"/>
    <w:rsid w:val="F36F54EF"/>
    <w:rsid w:val="F37E867D"/>
    <w:rsid w:val="F3B8EE09"/>
    <w:rsid w:val="F3BF833D"/>
    <w:rsid w:val="F3CF03B3"/>
    <w:rsid w:val="F3D913DD"/>
    <w:rsid w:val="F3DD321E"/>
    <w:rsid w:val="F3DD8B99"/>
    <w:rsid w:val="F3E7D047"/>
    <w:rsid w:val="F3EB2CF6"/>
    <w:rsid w:val="F3EEBEE1"/>
    <w:rsid w:val="F3F7C83C"/>
    <w:rsid w:val="F3F87583"/>
    <w:rsid w:val="F3FB34D7"/>
    <w:rsid w:val="F3FD5EE4"/>
    <w:rsid w:val="F3FE1A38"/>
    <w:rsid w:val="F3FE83E6"/>
    <w:rsid w:val="F3FF78A4"/>
    <w:rsid w:val="F3FFD6D2"/>
    <w:rsid w:val="F43D383C"/>
    <w:rsid w:val="F4578856"/>
    <w:rsid w:val="F4951DE9"/>
    <w:rsid w:val="F4BF2C5B"/>
    <w:rsid w:val="F4DFC0F2"/>
    <w:rsid w:val="F557E8C9"/>
    <w:rsid w:val="F56F0B1F"/>
    <w:rsid w:val="F57E929E"/>
    <w:rsid w:val="F57EFB7D"/>
    <w:rsid w:val="F59771B5"/>
    <w:rsid w:val="F5AFC995"/>
    <w:rsid w:val="F5B2E438"/>
    <w:rsid w:val="F5BDB485"/>
    <w:rsid w:val="F5C38D31"/>
    <w:rsid w:val="F5CE45E4"/>
    <w:rsid w:val="F5D3D7C7"/>
    <w:rsid w:val="F5D91EEA"/>
    <w:rsid w:val="F5DD78C8"/>
    <w:rsid w:val="F5EF4588"/>
    <w:rsid w:val="F5FE4C10"/>
    <w:rsid w:val="F5FF0F5D"/>
    <w:rsid w:val="F5FF2794"/>
    <w:rsid w:val="F5FF5D40"/>
    <w:rsid w:val="F5FFB0E1"/>
    <w:rsid w:val="F6575F9A"/>
    <w:rsid w:val="F67B9965"/>
    <w:rsid w:val="F6AAFEB9"/>
    <w:rsid w:val="F6DF9266"/>
    <w:rsid w:val="F6F509AF"/>
    <w:rsid w:val="F6F53E1B"/>
    <w:rsid w:val="F6F5535F"/>
    <w:rsid w:val="F6F9EF58"/>
    <w:rsid w:val="F6FD07B6"/>
    <w:rsid w:val="F6FF8F50"/>
    <w:rsid w:val="F6FFF847"/>
    <w:rsid w:val="F75F87A4"/>
    <w:rsid w:val="F762322F"/>
    <w:rsid w:val="F76F0FAB"/>
    <w:rsid w:val="F775706D"/>
    <w:rsid w:val="F77A0666"/>
    <w:rsid w:val="F77F77B9"/>
    <w:rsid w:val="F7969A8E"/>
    <w:rsid w:val="F7A772C1"/>
    <w:rsid w:val="F7B9AEED"/>
    <w:rsid w:val="F7BB68A3"/>
    <w:rsid w:val="F7CD2D44"/>
    <w:rsid w:val="F7CE4CB4"/>
    <w:rsid w:val="F7CF512A"/>
    <w:rsid w:val="F7D077CF"/>
    <w:rsid w:val="F7D243B6"/>
    <w:rsid w:val="F7D72A15"/>
    <w:rsid w:val="F7DF0913"/>
    <w:rsid w:val="F7E561FD"/>
    <w:rsid w:val="F7E5F388"/>
    <w:rsid w:val="F7ED2F14"/>
    <w:rsid w:val="F7ED6486"/>
    <w:rsid w:val="F7EEFE5E"/>
    <w:rsid w:val="F7F41A79"/>
    <w:rsid w:val="F7F5733B"/>
    <w:rsid w:val="F7F71C28"/>
    <w:rsid w:val="F7F92FEE"/>
    <w:rsid w:val="F7F9C838"/>
    <w:rsid w:val="F7FB0D86"/>
    <w:rsid w:val="F7FB3F47"/>
    <w:rsid w:val="F7FB8492"/>
    <w:rsid w:val="F7FBE329"/>
    <w:rsid w:val="F7FD6FF8"/>
    <w:rsid w:val="F7FDFDD1"/>
    <w:rsid w:val="F7FF4F6D"/>
    <w:rsid w:val="F7FF6471"/>
    <w:rsid w:val="F7FF8114"/>
    <w:rsid w:val="F7FF827A"/>
    <w:rsid w:val="F7FF8A8B"/>
    <w:rsid w:val="F7FFBA6F"/>
    <w:rsid w:val="F7FFC64F"/>
    <w:rsid w:val="F86BF175"/>
    <w:rsid w:val="F8C524C1"/>
    <w:rsid w:val="F8D9AC9F"/>
    <w:rsid w:val="F8EEBBB3"/>
    <w:rsid w:val="F8F52847"/>
    <w:rsid w:val="F8FEA3EB"/>
    <w:rsid w:val="F95FF075"/>
    <w:rsid w:val="F97FD7DA"/>
    <w:rsid w:val="F98A6E71"/>
    <w:rsid w:val="F9AF920E"/>
    <w:rsid w:val="F9B9880B"/>
    <w:rsid w:val="F9F7D416"/>
    <w:rsid w:val="F9FD574A"/>
    <w:rsid w:val="F9FD822F"/>
    <w:rsid w:val="F9FDAA0F"/>
    <w:rsid w:val="FA1DEDBD"/>
    <w:rsid w:val="FA57DAB0"/>
    <w:rsid w:val="FA5CAB54"/>
    <w:rsid w:val="FA5E3625"/>
    <w:rsid w:val="FA7BA765"/>
    <w:rsid w:val="FA7D9432"/>
    <w:rsid w:val="FA7DA793"/>
    <w:rsid w:val="FA7F8B48"/>
    <w:rsid w:val="FAD69134"/>
    <w:rsid w:val="FAEE8C0E"/>
    <w:rsid w:val="FAF34566"/>
    <w:rsid w:val="FAF390DF"/>
    <w:rsid w:val="FAF7F6BF"/>
    <w:rsid w:val="FAFC1DAA"/>
    <w:rsid w:val="FAFDBE0E"/>
    <w:rsid w:val="FAFF1EB0"/>
    <w:rsid w:val="FAFF9962"/>
    <w:rsid w:val="FAFFA51D"/>
    <w:rsid w:val="FB1A13DA"/>
    <w:rsid w:val="FB22BB46"/>
    <w:rsid w:val="FB2F6A20"/>
    <w:rsid w:val="FB33D933"/>
    <w:rsid w:val="FB3683A8"/>
    <w:rsid w:val="FB596B94"/>
    <w:rsid w:val="FB6B3D76"/>
    <w:rsid w:val="FB6D2260"/>
    <w:rsid w:val="FB6F62D0"/>
    <w:rsid w:val="FB77AD0C"/>
    <w:rsid w:val="FB79DBE7"/>
    <w:rsid w:val="FB7B8BA0"/>
    <w:rsid w:val="FB7D5A01"/>
    <w:rsid w:val="FB8F5B25"/>
    <w:rsid w:val="FB9A8012"/>
    <w:rsid w:val="FB9F9526"/>
    <w:rsid w:val="FBADDBB6"/>
    <w:rsid w:val="FBB3EF48"/>
    <w:rsid w:val="FBB74511"/>
    <w:rsid w:val="FBC78DE1"/>
    <w:rsid w:val="FBCB5836"/>
    <w:rsid w:val="FBCE2416"/>
    <w:rsid w:val="FBD5D67A"/>
    <w:rsid w:val="FBDBF32F"/>
    <w:rsid w:val="FBDED199"/>
    <w:rsid w:val="FBED3041"/>
    <w:rsid w:val="FBEE8285"/>
    <w:rsid w:val="FBF1984D"/>
    <w:rsid w:val="FBF713B4"/>
    <w:rsid w:val="FBF736BC"/>
    <w:rsid w:val="FBF92540"/>
    <w:rsid w:val="FBFBDA99"/>
    <w:rsid w:val="FBFCBAD4"/>
    <w:rsid w:val="FBFD8293"/>
    <w:rsid w:val="FBFF373F"/>
    <w:rsid w:val="FBFF530F"/>
    <w:rsid w:val="FBFFF2C0"/>
    <w:rsid w:val="FC6E5720"/>
    <w:rsid w:val="FC6F4C62"/>
    <w:rsid w:val="FC7F69F9"/>
    <w:rsid w:val="FC7F8960"/>
    <w:rsid w:val="FCAE02D2"/>
    <w:rsid w:val="FCBFD658"/>
    <w:rsid w:val="FCC4CEF3"/>
    <w:rsid w:val="FCCD42A0"/>
    <w:rsid w:val="FCDB03A2"/>
    <w:rsid w:val="FCDBD0AF"/>
    <w:rsid w:val="FCDC9973"/>
    <w:rsid w:val="FCE88277"/>
    <w:rsid w:val="FCEBCA81"/>
    <w:rsid w:val="FCF58D20"/>
    <w:rsid w:val="FCF62D64"/>
    <w:rsid w:val="FCFA9AB8"/>
    <w:rsid w:val="FCFF6649"/>
    <w:rsid w:val="FCFF9FEE"/>
    <w:rsid w:val="FD1B33A2"/>
    <w:rsid w:val="FD3956BE"/>
    <w:rsid w:val="FD5B318F"/>
    <w:rsid w:val="FD7513D6"/>
    <w:rsid w:val="FD7BE93B"/>
    <w:rsid w:val="FD7E1E34"/>
    <w:rsid w:val="FD7EE6DC"/>
    <w:rsid w:val="FD7F3A0D"/>
    <w:rsid w:val="FD873E10"/>
    <w:rsid w:val="FD8A0B01"/>
    <w:rsid w:val="FD91E112"/>
    <w:rsid w:val="FD962B3E"/>
    <w:rsid w:val="FD9C9E2C"/>
    <w:rsid w:val="FD9F33FC"/>
    <w:rsid w:val="FDAF42F7"/>
    <w:rsid w:val="FDAFED53"/>
    <w:rsid w:val="FDB20E35"/>
    <w:rsid w:val="FDBA4CF2"/>
    <w:rsid w:val="FDBEE036"/>
    <w:rsid w:val="FDBF9125"/>
    <w:rsid w:val="FDBFAE36"/>
    <w:rsid w:val="FDBFE724"/>
    <w:rsid w:val="FDD7182F"/>
    <w:rsid w:val="FDDD007B"/>
    <w:rsid w:val="FDDF6A17"/>
    <w:rsid w:val="FDDF7DC5"/>
    <w:rsid w:val="FDDFB9F0"/>
    <w:rsid w:val="FDEF361D"/>
    <w:rsid w:val="FDF3759D"/>
    <w:rsid w:val="FDF58D64"/>
    <w:rsid w:val="FDF5CCC3"/>
    <w:rsid w:val="FDF9CEDB"/>
    <w:rsid w:val="FDFAEF9B"/>
    <w:rsid w:val="FDFB3F68"/>
    <w:rsid w:val="FDFB5006"/>
    <w:rsid w:val="FDFBF829"/>
    <w:rsid w:val="FDFDB3D2"/>
    <w:rsid w:val="FDFDF7FF"/>
    <w:rsid w:val="FDFF1155"/>
    <w:rsid w:val="FDFF5C1A"/>
    <w:rsid w:val="FDFFB07C"/>
    <w:rsid w:val="FE5677F1"/>
    <w:rsid w:val="FE622839"/>
    <w:rsid w:val="FE6D7FF1"/>
    <w:rsid w:val="FE6F27F9"/>
    <w:rsid w:val="FE7BED5F"/>
    <w:rsid w:val="FE8D6130"/>
    <w:rsid w:val="FE9BC43B"/>
    <w:rsid w:val="FE9BDE58"/>
    <w:rsid w:val="FE9F874B"/>
    <w:rsid w:val="FE9FE0F1"/>
    <w:rsid w:val="FEAF3C6A"/>
    <w:rsid w:val="FEBB7F96"/>
    <w:rsid w:val="FEBB99A7"/>
    <w:rsid w:val="FEBE7A0D"/>
    <w:rsid w:val="FEBF1355"/>
    <w:rsid w:val="FEBFCE78"/>
    <w:rsid w:val="FEC2CEC5"/>
    <w:rsid w:val="FED3FDC2"/>
    <w:rsid w:val="FEDD845B"/>
    <w:rsid w:val="FEDF69EE"/>
    <w:rsid w:val="FEE78F15"/>
    <w:rsid w:val="FEEAC6B5"/>
    <w:rsid w:val="FEF32833"/>
    <w:rsid w:val="FEF52BBD"/>
    <w:rsid w:val="FEF728BC"/>
    <w:rsid w:val="FEF78E54"/>
    <w:rsid w:val="FEFA6EBB"/>
    <w:rsid w:val="FEFB7CA2"/>
    <w:rsid w:val="FEFB8B5D"/>
    <w:rsid w:val="FEFB97E4"/>
    <w:rsid w:val="FEFBE3CC"/>
    <w:rsid w:val="FEFCC334"/>
    <w:rsid w:val="FEFF55B0"/>
    <w:rsid w:val="FEFFC829"/>
    <w:rsid w:val="FF35191A"/>
    <w:rsid w:val="FF354163"/>
    <w:rsid w:val="FF3C3223"/>
    <w:rsid w:val="FF3D2A14"/>
    <w:rsid w:val="FF3E2A1E"/>
    <w:rsid w:val="FF3F38C2"/>
    <w:rsid w:val="FF3F8133"/>
    <w:rsid w:val="FF58937B"/>
    <w:rsid w:val="FF5E6AE5"/>
    <w:rsid w:val="FF66504C"/>
    <w:rsid w:val="FF6C55AF"/>
    <w:rsid w:val="FF6D73A4"/>
    <w:rsid w:val="FF6FFEB6"/>
    <w:rsid w:val="FF735ECE"/>
    <w:rsid w:val="FF753866"/>
    <w:rsid w:val="FF75D97D"/>
    <w:rsid w:val="FF77647B"/>
    <w:rsid w:val="FF7A1E3D"/>
    <w:rsid w:val="FF7AD86F"/>
    <w:rsid w:val="FF7B154E"/>
    <w:rsid w:val="FF7D5D80"/>
    <w:rsid w:val="FF7EAD8C"/>
    <w:rsid w:val="FF7EBABD"/>
    <w:rsid w:val="FF7F55EE"/>
    <w:rsid w:val="FF7F61EE"/>
    <w:rsid w:val="FF7F75B3"/>
    <w:rsid w:val="FF7F78D4"/>
    <w:rsid w:val="FF7F8178"/>
    <w:rsid w:val="FF7FC08D"/>
    <w:rsid w:val="FF9E7729"/>
    <w:rsid w:val="FF9F5323"/>
    <w:rsid w:val="FF9F9A60"/>
    <w:rsid w:val="FFA20D79"/>
    <w:rsid w:val="FFABE504"/>
    <w:rsid w:val="FFAD17B2"/>
    <w:rsid w:val="FFAE9B17"/>
    <w:rsid w:val="FFAFD54E"/>
    <w:rsid w:val="FFB9C280"/>
    <w:rsid w:val="FFBB07E9"/>
    <w:rsid w:val="FFBB6605"/>
    <w:rsid w:val="FFBD4C98"/>
    <w:rsid w:val="FFBE3310"/>
    <w:rsid w:val="FFBE6FC0"/>
    <w:rsid w:val="FFBF6033"/>
    <w:rsid w:val="FFBF8D2A"/>
    <w:rsid w:val="FFBFC5F7"/>
    <w:rsid w:val="FFBFF507"/>
    <w:rsid w:val="FFBFFDD1"/>
    <w:rsid w:val="FFC5232E"/>
    <w:rsid w:val="FFC8F4E1"/>
    <w:rsid w:val="FFCB6971"/>
    <w:rsid w:val="FFCBF6D0"/>
    <w:rsid w:val="FFCD250F"/>
    <w:rsid w:val="FFCD5DEA"/>
    <w:rsid w:val="FFD54010"/>
    <w:rsid w:val="FFDD2FEF"/>
    <w:rsid w:val="FFDD33F4"/>
    <w:rsid w:val="FFDF026B"/>
    <w:rsid w:val="FFDF0A58"/>
    <w:rsid w:val="FFDFEB40"/>
    <w:rsid w:val="FFE67C9B"/>
    <w:rsid w:val="FFE765B5"/>
    <w:rsid w:val="FFE77A07"/>
    <w:rsid w:val="FFEB2B18"/>
    <w:rsid w:val="FFEB7B9F"/>
    <w:rsid w:val="FFEF1303"/>
    <w:rsid w:val="FFEF7444"/>
    <w:rsid w:val="FFEFE830"/>
    <w:rsid w:val="FFF5252D"/>
    <w:rsid w:val="FFF52818"/>
    <w:rsid w:val="FFF682B4"/>
    <w:rsid w:val="FFF69FAC"/>
    <w:rsid w:val="FFF74307"/>
    <w:rsid w:val="FFF796F6"/>
    <w:rsid w:val="FFF7A212"/>
    <w:rsid w:val="FFF7F4D7"/>
    <w:rsid w:val="FFF958CC"/>
    <w:rsid w:val="FFFA7992"/>
    <w:rsid w:val="FFFA7B76"/>
    <w:rsid w:val="FFFAA54C"/>
    <w:rsid w:val="FFFB36F9"/>
    <w:rsid w:val="FFFB52C2"/>
    <w:rsid w:val="FFFB73AB"/>
    <w:rsid w:val="FFFBA12B"/>
    <w:rsid w:val="FFFBD18F"/>
    <w:rsid w:val="FFFBF783"/>
    <w:rsid w:val="FFFBF968"/>
    <w:rsid w:val="FFFD7AAC"/>
    <w:rsid w:val="FFFDACC9"/>
    <w:rsid w:val="FFFDC0D7"/>
    <w:rsid w:val="FFFDC8FC"/>
    <w:rsid w:val="FFFE8BB4"/>
    <w:rsid w:val="FFFE92C1"/>
    <w:rsid w:val="FFFE9982"/>
    <w:rsid w:val="FFFEBEAF"/>
    <w:rsid w:val="FFFEF55D"/>
    <w:rsid w:val="FFFF0ACD"/>
    <w:rsid w:val="FFFF121C"/>
    <w:rsid w:val="FFFF14D5"/>
    <w:rsid w:val="FFFF21B6"/>
    <w:rsid w:val="FFFF55EA"/>
    <w:rsid w:val="FFFF74BB"/>
    <w:rsid w:val="FFFF95E8"/>
    <w:rsid w:val="FFFFA546"/>
    <w:rsid w:val="FFFFB2ED"/>
    <w:rsid w:val="FFFFB39A"/>
    <w:rsid w:val="FFFFD458"/>
    <w:rsid w:val="FFFFE3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560" w:lineRule="exact"/>
      <w:ind w:firstLine="723" w:firstLineChars="200"/>
      <w:jc w:val="both"/>
    </w:pPr>
    <w:rPr>
      <w:rFonts w:eastAsia="仿宋" w:asciiTheme="minorAscii" w:hAnsiTheme="minorAscii" w:cstheme="minorBidi"/>
      <w:kern w:val="2"/>
      <w:sz w:val="32"/>
      <w:szCs w:val="24"/>
      <w:lang w:val="en-US" w:eastAsia="zh-CN" w:bidi="ar-SA"/>
    </w:rPr>
  </w:style>
  <w:style w:type="paragraph" w:styleId="3">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customStyle="1" w:styleId="2">
    <w:name w:val="Default"/>
    <w:basedOn w:val="1"/>
    <w:qFormat/>
    <w:uiPriority w:val="99"/>
    <w:pPr>
      <w:autoSpaceDE w:val="0"/>
      <w:autoSpaceDN w:val="0"/>
      <w:adjustRightInd w:val="0"/>
      <w:jc w:val="left"/>
    </w:pPr>
    <w:rPr>
      <w:rFonts w:ascii="??_GB2312" w:hAnsi="Times New Roman" w:eastAsia="Times New Roman"/>
      <w:color w:val="000000"/>
      <w:kern w:val="0"/>
      <w:sz w:val="24"/>
      <w:szCs w:val="2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bottom w:val="single" w:color="000000" w:sz="6" w:space="1"/>
      </w:pBdr>
      <w:tabs>
        <w:tab w:val="center" w:pos="4153"/>
        <w:tab w:val="right" w:pos="8306"/>
      </w:tabs>
      <w:snapToGrid w:val="0"/>
      <w:jc w:val="center"/>
    </w:pPr>
    <w:rPr>
      <w:sz w:val="18"/>
    </w:rPr>
  </w:style>
  <w:style w:type="paragraph" w:styleId="6">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Strong"/>
    <w:basedOn w:val="10"/>
    <w:qFormat/>
    <w:uiPriority w:val="0"/>
    <w:rPr>
      <w:b/>
    </w:rPr>
  </w:style>
  <w:style w:type="character" w:customStyle="1" w:styleId="12">
    <w:name w:val="NormalCharacter"/>
    <w:semiHidden/>
    <w:qFormat/>
    <w:uiPriority w:val="0"/>
  </w:style>
  <w:style w:type="character" w:customStyle="1" w:styleId="13">
    <w:name w:val="PageNumber"/>
    <w:basedOn w:val="12"/>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TotalTime>
  <ScaleCrop>false</ScaleCrop>
  <LinksUpToDate>false</LinksUpToDate>
  <CharactersWithSpaces>0</CharactersWithSpaces>
  <Application>WPS Office_11.8.2.10458_F1E327BC-269C-435d-A152-05C5408002CA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2023-08-08T01:10:00Z</dcterms:created>
  <dc:creator>白</dc:creator>
  <cp:lastModifiedBy>黑</cp:lastModifiedBy>
  <cp:lastPrinted>2023-08-17T18:11:00Z</cp:lastPrinted>
  <dcterms:modified xsi:type="dcterms:W3CDTF">2023-08-16T07:58:17Z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2052-11.8.2.10458</vt:lpwstr>
  </property>
  <property fmtid="{D5CDD505-2E9C-101B-9397-08002B2CF9AE}" pid="3" name="ICV">
    <vt:lpwstr>8F7BE430AD7944B08E3AA2EE7C9AE7E7_11</vt:lpwstr>
  </property>
</Properties>
</file>