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spacing w:after="0" w:line="560" w:lineRule="exact"/>
        <w:ind w:left="0"/>
        <w:jc w:val="center"/>
        <w:textAlignment w:val="auto"/>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rPr>
        <w:t>《</w:t>
      </w:r>
      <w:r>
        <w:rPr>
          <w:rFonts w:hint="eastAsia" w:ascii="方正小标宋简体" w:hAnsi="方正小标宋简体" w:eastAsia="方正小标宋简体" w:cs="方正小标宋简体"/>
          <w:sz w:val="44"/>
          <w:szCs w:val="44"/>
          <w:lang w:val="en-US" w:eastAsia="zh-CN"/>
        </w:rPr>
        <w:t>关于进一步保持房地产市场平稳健康发展若干政策措施（征求意见稿</w:t>
      </w:r>
      <w:r>
        <w:rPr>
          <w:rFonts w:hint="eastAsia" w:ascii="方正小标宋简体" w:hAnsi="方正小标宋简体" w:eastAsia="方正小标宋简体" w:cs="方正小标宋简体"/>
          <w:sz w:val="44"/>
          <w:szCs w:val="44"/>
        </w:rPr>
        <w:t>》的</w:t>
      </w:r>
      <w:r>
        <w:rPr>
          <w:rFonts w:hint="eastAsia" w:ascii="方正小标宋简体" w:hAnsi="方正小标宋简体" w:eastAsia="方正小标宋简体" w:cs="方正小标宋简体"/>
          <w:sz w:val="44"/>
          <w:szCs w:val="44"/>
          <w:lang w:val="en-US" w:eastAsia="zh-CN"/>
        </w:rPr>
        <w:t>起草</w:t>
      </w:r>
      <w:r>
        <w:rPr>
          <w:rFonts w:hint="eastAsia" w:ascii="方正小标宋简体" w:hAnsi="方正小标宋简体" w:eastAsia="方正小标宋简体" w:cs="方正小标宋简体"/>
          <w:sz w:val="44"/>
          <w:szCs w:val="44"/>
          <w:lang w:eastAsia="zh-CN"/>
        </w:rPr>
        <w:t>说明</w:t>
      </w:r>
    </w:p>
    <w:p>
      <w:pPr>
        <w:keepNext w:val="0"/>
        <w:keepLines w:val="0"/>
        <w:pageBreakBefore w:val="0"/>
        <w:widowControl/>
        <w:kinsoku/>
        <w:wordWrap/>
        <w:overflowPunct/>
        <w:topLinePunct w:val="0"/>
        <w:autoSpaceDE/>
        <w:autoSpaceDN/>
        <w:bidi w:val="0"/>
        <w:spacing w:after="0" w:line="560" w:lineRule="exact"/>
        <w:ind w:left="0"/>
        <w:textAlignment w:val="auto"/>
        <w:rPr>
          <w:rFonts w:hint="default" w:ascii="Times New Roman" w:hAnsi="Times New Roman" w:eastAsia="仿宋_GB2312" w:cs="Times New Roman"/>
          <w:sz w:val="32"/>
          <w:szCs w:val="32"/>
        </w:rPr>
      </w:pPr>
    </w:p>
    <w:p>
      <w:pPr>
        <w:keepNext w:val="0"/>
        <w:keepLines w:val="0"/>
        <w:pageBreakBefore w:val="0"/>
        <w:widowControl/>
        <w:kinsoku/>
        <w:wordWrap/>
        <w:overflowPunct/>
        <w:topLinePunct w:val="0"/>
        <w:autoSpaceDE/>
        <w:autoSpaceDN/>
        <w:bidi w:val="0"/>
        <w:spacing w:after="0" w:line="560" w:lineRule="exact"/>
        <w:ind w:left="0" w:firstLine="640" w:firstLineChars="20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rPr>
        <w:t>一、《</w:t>
      </w:r>
      <w:r>
        <w:rPr>
          <w:rFonts w:hint="default" w:ascii="Times New Roman" w:hAnsi="Times New Roman" w:eastAsia="黑体" w:cs="Times New Roman"/>
          <w:sz w:val="32"/>
          <w:szCs w:val="32"/>
          <w:lang w:eastAsia="zh-CN"/>
        </w:rPr>
        <w:t>补充</w:t>
      </w:r>
      <w:r>
        <w:rPr>
          <w:rFonts w:hint="default" w:ascii="Times New Roman" w:hAnsi="Times New Roman" w:eastAsia="黑体" w:cs="Times New Roman"/>
          <w:sz w:val="32"/>
          <w:szCs w:val="32"/>
        </w:rPr>
        <w:t>意见》起草的背景</w:t>
      </w:r>
    </w:p>
    <w:p>
      <w:pPr>
        <w:keepNext w:val="0"/>
        <w:keepLines w:val="0"/>
        <w:pageBreakBefore w:val="0"/>
        <w:widowControl/>
        <w:kinsoku/>
        <w:wordWrap/>
        <w:overflowPunct/>
        <w:topLinePunct w:val="0"/>
        <w:autoSpaceDE/>
        <w:autoSpaceDN/>
        <w:bidi w:val="0"/>
        <w:spacing w:after="0" w:line="560" w:lineRule="exact"/>
        <w:ind w:lef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2022年5月13日，市政府办公室印发了《关于保持房地产市场平稳健康的若干意见》（周政办〔2022〕35号）（以下简称《意见》），从实行购房契税补贴等方面对房地产市场给予支持。《意见》实行后，从市场反应看，看房群众日益增多，购房意愿有所增强，销售量有所上升，市场形势呈现回暖迹象，销售下滑势头得到遏制并呈现正增长，从统计数据看，中心城区商品房4月份销售6.99万平方米，环比下降47.87%；5月份销售9.13万平方米，环比增长30.62%；6月份销售23.13万㎡，同比增长46.02％，环比增长153.34%。</w:t>
      </w:r>
      <w:r>
        <w:rPr>
          <w:rFonts w:hint="default" w:ascii="Times New Roman" w:hAnsi="Times New Roman" w:eastAsia="仿宋_GB2312" w:cs="Times New Roman"/>
          <w:sz w:val="32"/>
          <w:szCs w:val="32"/>
          <w:lang w:val="en-US" w:eastAsia="zh-CN"/>
        </w:rPr>
        <w:t>截至6月底，全市商品房去化周期15个月，比5月份下降1个月，说明出台的政策在逐步、持续发力，我市房地产市场形势整体呈现出企稳回暖、逐步提升的态势。</w:t>
      </w:r>
    </w:p>
    <w:p>
      <w:pPr>
        <w:keepNext w:val="0"/>
        <w:keepLines w:val="0"/>
        <w:pageBreakBefore w:val="0"/>
        <w:widowControl/>
        <w:kinsoku/>
        <w:wordWrap/>
        <w:overflowPunct/>
        <w:topLinePunct w:val="0"/>
        <w:autoSpaceDE/>
        <w:autoSpaceDN/>
        <w:bidi w:val="0"/>
        <w:spacing w:after="0" w:line="560" w:lineRule="exact"/>
        <w:ind w:lef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意见》出台后，国务院、省政府和市委、市政府着眼经济运行又陆续出台了关于稳定经济大盘一揽子政策措施，尤其是对促进房地产平稳健康发展方面提出了一些列新的举措。为贯彻落实各级关于支持房地产发展的政策，需要在我市出台《意见》的基础上进行补充和完善，以进一步促进我市房地产市场良性循环、健康发展。</w:t>
      </w:r>
    </w:p>
    <w:p>
      <w:pPr>
        <w:keepNext w:val="0"/>
        <w:keepLines w:val="0"/>
        <w:pageBreakBefore w:val="0"/>
        <w:widowControl/>
        <w:numPr>
          <w:ilvl w:val="0"/>
          <w:numId w:val="1"/>
        </w:numPr>
        <w:kinsoku/>
        <w:wordWrap/>
        <w:overflowPunct/>
        <w:topLinePunct w:val="0"/>
        <w:autoSpaceDE/>
        <w:autoSpaceDN/>
        <w:bidi w:val="0"/>
        <w:spacing w:after="0" w:line="560" w:lineRule="exact"/>
        <w:ind w:left="0" w:firstLine="640" w:firstLineChars="200"/>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《补充意见》起草的依据。</w:t>
      </w:r>
    </w:p>
    <w:p>
      <w:pPr>
        <w:keepNext w:val="0"/>
        <w:keepLines w:val="0"/>
        <w:pageBreakBefore w:val="0"/>
        <w:widowControl/>
        <w:numPr>
          <w:ilvl w:val="0"/>
          <w:numId w:val="0"/>
        </w:numPr>
        <w:kinsoku/>
        <w:wordWrap/>
        <w:overflowPunct/>
        <w:topLinePunct w:val="0"/>
        <w:autoSpaceDE/>
        <w:autoSpaceDN/>
        <w:bidi w:val="0"/>
        <w:spacing w:after="0" w:line="560" w:lineRule="exact"/>
        <w:ind w:leftChars="20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起草《补充意见》的依据主要有以下几个方面：</w:t>
      </w:r>
    </w:p>
    <w:p>
      <w:pPr>
        <w:keepNext w:val="0"/>
        <w:keepLines w:val="0"/>
        <w:pageBreakBefore w:val="0"/>
        <w:widowControl/>
        <w:kinsoku/>
        <w:wordWrap/>
        <w:overflowPunct/>
        <w:topLinePunct w:val="0"/>
        <w:autoSpaceDE/>
        <w:autoSpaceDN/>
        <w:bidi w:val="0"/>
        <w:spacing w:after="0" w:line="560" w:lineRule="exact"/>
        <w:ind w:left="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1、河南省人民政府办公厅《关于做好当前重点经济工作的通知》（豫政办明电〔2022〕13号）第三部分“以更大力度扩大有效投资”第十一条“促进房地产市场平稳健康发展”。</w:t>
      </w:r>
    </w:p>
    <w:p>
      <w:pPr>
        <w:keepNext w:val="0"/>
        <w:keepLines w:val="0"/>
        <w:pageBreakBefore w:val="0"/>
        <w:widowControl/>
        <w:kinsoku/>
        <w:wordWrap/>
        <w:overflowPunct/>
        <w:topLinePunct w:val="0"/>
        <w:autoSpaceDE/>
        <w:autoSpaceDN/>
        <w:bidi w:val="0"/>
        <w:spacing w:after="0" w:line="560" w:lineRule="exact"/>
        <w:ind w:lef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2、河南省人民政府《关于印发河南省贯彻落实稳住经济一揽子政策措施实施方案的通知》（豫政〔2022〕19号）第五部分“推动房地产平稳健康发展政策落地见效”第十九—二十二条。</w:t>
      </w:r>
    </w:p>
    <w:p>
      <w:pPr>
        <w:keepNext w:val="0"/>
        <w:keepLines w:val="0"/>
        <w:pageBreakBefore w:val="0"/>
        <w:widowControl/>
        <w:kinsoku/>
        <w:wordWrap/>
        <w:overflowPunct/>
        <w:topLinePunct w:val="0"/>
        <w:autoSpaceDE/>
        <w:autoSpaceDN/>
        <w:bidi w:val="0"/>
        <w:spacing w:after="0" w:line="560" w:lineRule="exact"/>
        <w:ind w:left="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3、周口市人民政府办公室《关于保持房地产市场平稳健康发展的若干意见》（周政办〔2022〕35号）</w:t>
      </w:r>
    </w:p>
    <w:p>
      <w:pPr>
        <w:keepNext w:val="0"/>
        <w:keepLines w:val="0"/>
        <w:pageBreakBefore w:val="0"/>
        <w:widowControl/>
        <w:kinsoku/>
        <w:wordWrap/>
        <w:overflowPunct/>
        <w:topLinePunct w:val="0"/>
        <w:autoSpaceDE/>
        <w:autoSpaceDN/>
        <w:bidi w:val="0"/>
        <w:spacing w:after="0" w:line="560" w:lineRule="exact"/>
        <w:ind w:left="0" w:firstLine="640" w:firstLineChars="20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lang w:val="en-US" w:eastAsia="zh-CN"/>
        </w:rPr>
        <w:t>三、</w:t>
      </w:r>
      <w:r>
        <w:rPr>
          <w:rFonts w:hint="default" w:ascii="Times New Roman" w:hAnsi="Times New Roman" w:eastAsia="黑体" w:cs="Times New Roman"/>
          <w:sz w:val="32"/>
          <w:szCs w:val="32"/>
        </w:rPr>
        <w:t>《</w:t>
      </w:r>
      <w:r>
        <w:rPr>
          <w:rFonts w:hint="default" w:ascii="Times New Roman" w:hAnsi="Times New Roman" w:eastAsia="黑体" w:cs="Times New Roman"/>
          <w:sz w:val="32"/>
          <w:szCs w:val="32"/>
          <w:lang w:eastAsia="zh-CN"/>
        </w:rPr>
        <w:t>补充</w:t>
      </w:r>
      <w:r>
        <w:rPr>
          <w:rFonts w:hint="default" w:ascii="Times New Roman" w:hAnsi="Times New Roman" w:eastAsia="黑体" w:cs="Times New Roman"/>
          <w:sz w:val="32"/>
          <w:szCs w:val="32"/>
        </w:rPr>
        <w:t>意见》的主要内容</w:t>
      </w:r>
    </w:p>
    <w:p>
      <w:pPr>
        <w:keepNext w:val="0"/>
        <w:keepLines w:val="0"/>
        <w:pageBreakBefore w:val="0"/>
        <w:widowControl/>
        <w:kinsoku/>
        <w:wordWrap/>
        <w:overflowPunct/>
        <w:topLinePunct w:val="0"/>
        <w:autoSpaceDE/>
        <w:autoSpaceDN/>
        <w:bidi w:val="0"/>
        <w:spacing w:after="0" w:line="560" w:lineRule="exact"/>
        <w:ind w:left="0"/>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《补充意见》共分十部分十四条，主要内容如下：</w:t>
      </w:r>
    </w:p>
    <w:p>
      <w:pPr>
        <w:keepNext w:val="0"/>
        <w:keepLines w:val="0"/>
        <w:pageBreakBefore w:val="0"/>
        <w:widowControl/>
        <w:kinsoku/>
        <w:wordWrap/>
        <w:overflowPunct/>
        <w:topLinePunct w:val="0"/>
        <w:autoSpaceDE/>
        <w:autoSpaceDN/>
        <w:bidi w:val="0"/>
        <w:spacing w:after="0" w:line="560" w:lineRule="exact"/>
        <w:ind w:lef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 w:cs="Times New Roman"/>
          <w:sz w:val="32"/>
          <w:szCs w:val="32"/>
          <w:lang w:val="en-US" w:eastAsia="zh-CN"/>
        </w:rPr>
        <w:t>（一）优化商品房预售资金监管。</w:t>
      </w:r>
      <w:r>
        <w:rPr>
          <w:rFonts w:hint="default" w:ascii="Times New Roman" w:hAnsi="Times New Roman" w:eastAsia="仿宋_GB2312" w:cs="Times New Roman"/>
          <w:sz w:val="32"/>
          <w:szCs w:val="32"/>
          <w:lang w:val="en-US" w:eastAsia="zh-CN"/>
        </w:rPr>
        <w:t>主要内容是：</w:t>
      </w:r>
      <w:r>
        <w:rPr>
          <w:rFonts w:hint="default" w:ascii="Times New Roman" w:hAnsi="Times New Roman" w:eastAsia="仿宋_GB2312" w:cs="Times New Roman"/>
          <w:sz w:val="32"/>
          <w:szCs w:val="32"/>
          <w:lang w:val="zh-CN"/>
        </w:rPr>
        <w:t>实行以保函形式等额替代资金监管、</w:t>
      </w:r>
      <w:r>
        <w:rPr>
          <w:rFonts w:hint="default" w:ascii="Times New Roman" w:hAnsi="Times New Roman" w:eastAsia="仿宋_GB2312" w:cs="Times New Roman"/>
          <w:sz w:val="32"/>
          <w:szCs w:val="32"/>
          <w:lang w:val="en-US" w:eastAsia="zh-CN"/>
        </w:rPr>
        <w:t>以政府欠款盘活预售资金监管资金、探索实行同区域、同项目统筹使用预售监管资金等内容。</w:t>
      </w:r>
    </w:p>
    <w:p>
      <w:pPr>
        <w:keepNext w:val="0"/>
        <w:keepLines w:val="0"/>
        <w:pageBreakBefore w:val="0"/>
        <w:widowControl/>
        <w:kinsoku/>
        <w:wordWrap/>
        <w:overflowPunct/>
        <w:topLinePunct w:val="0"/>
        <w:autoSpaceDE/>
        <w:autoSpaceDN/>
        <w:bidi w:val="0"/>
        <w:spacing w:after="0" w:line="560" w:lineRule="exact"/>
        <w:ind w:left="0" w:firstLine="640" w:firstLineChars="200"/>
        <w:jc w:val="both"/>
        <w:textAlignment w:val="auto"/>
        <w:rPr>
          <w:rFonts w:hint="default" w:ascii="Times New Roman" w:hAnsi="Times New Roman" w:eastAsia="仿宋_GB2312" w:cs="Times New Roman"/>
          <w:sz w:val="32"/>
          <w:szCs w:val="32"/>
          <w:lang w:val="en-US"/>
        </w:rPr>
      </w:pPr>
      <w:r>
        <w:rPr>
          <w:rFonts w:hint="default" w:ascii="Times New Roman" w:hAnsi="Times New Roman" w:eastAsia="楷体" w:cs="Times New Roman"/>
          <w:sz w:val="32"/>
          <w:szCs w:val="32"/>
          <w:lang w:val="zh-CN" w:eastAsia="zh-CN"/>
        </w:rPr>
        <w:t>（二）顺延房地产项目交付期限。</w:t>
      </w:r>
      <w:r>
        <w:rPr>
          <w:rFonts w:hint="default" w:ascii="Times New Roman" w:hAnsi="Times New Roman" w:eastAsia="仿宋_GB2312" w:cs="Times New Roman"/>
          <w:sz w:val="32"/>
          <w:szCs w:val="32"/>
          <w:lang w:val="zh-CN"/>
        </w:rPr>
        <w:t>将疫情影响列为不可抗力因素，受疫情等不可抗力影响的房地产项目在不能按规定期限履行施工和商品房交付时，施工方和开发企业可相应顺延交付期限，</w:t>
      </w:r>
      <w:r>
        <w:rPr>
          <w:rFonts w:hint="default" w:ascii="Times New Roman" w:hAnsi="Times New Roman" w:eastAsia="仿宋_GB2312" w:cs="Times New Roman"/>
          <w:sz w:val="32"/>
          <w:szCs w:val="32"/>
          <w:lang w:val="en-US" w:eastAsia="zh-CN"/>
        </w:rPr>
        <w:t>具体顺延日期由市住房和城乡建设局商市疫情防控指挥部发布，每半年发布一次。初步确定将上半年因疫情影响顺延房地产交付期限为90天。</w:t>
      </w:r>
    </w:p>
    <w:p>
      <w:pPr>
        <w:keepNext w:val="0"/>
        <w:keepLines w:val="0"/>
        <w:pageBreakBefore w:val="0"/>
        <w:widowControl/>
        <w:kinsoku/>
        <w:wordWrap/>
        <w:overflowPunct/>
        <w:topLinePunct w:val="0"/>
        <w:autoSpaceDE/>
        <w:autoSpaceDN/>
        <w:bidi w:val="0"/>
        <w:spacing w:after="0" w:line="560" w:lineRule="exact"/>
        <w:ind w:left="0" w:firstLine="640" w:firstLineChars="200"/>
        <w:jc w:val="both"/>
        <w:textAlignment w:val="auto"/>
        <w:rPr>
          <w:rFonts w:hint="eastAsia" w:ascii="仿宋_GB2312" w:hAnsi="仿宋_GB2312" w:eastAsia="仿宋_GB2312" w:cs="仿宋_GB2312"/>
          <w:sz w:val="32"/>
          <w:szCs w:val="32"/>
          <w:lang w:val="zh-CN" w:eastAsia="zh-CN"/>
        </w:rPr>
      </w:pPr>
      <w:r>
        <w:rPr>
          <w:rFonts w:hint="default" w:ascii="Times New Roman" w:hAnsi="Times New Roman" w:eastAsia="楷体" w:cs="Times New Roman"/>
          <w:sz w:val="32"/>
          <w:szCs w:val="32"/>
          <w:lang w:val="en-US" w:eastAsia="zh-CN"/>
        </w:rPr>
        <w:t>（三）拓展工程款支付渠道。</w:t>
      </w:r>
      <w:r>
        <w:rPr>
          <w:rFonts w:hint="eastAsia" w:ascii="仿宋_GB2312" w:hAnsi="仿宋_GB2312" w:eastAsia="仿宋_GB2312" w:cs="仿宋_GB2312"/>
          <w:sz w:val="32"/>
          <w:szCs w:val="32"/>
          <w:lang w:val="zh-CN" w:eastAsia="zh-CN"/>
        </w:rPr>
        <w:t>建立工程款多渠道支付途径，对以实物抵顶各种欠款的施工单位、材料供应单位等，可以企业或个人名义办理网签备案手续。</w:t>
      </w:r>
    </w:p>
    <w:p>
      <w:pPr>
        <w:keepNext w:val="0"/>
        <w:keepLines w:val="0"/>
        <w:pageBreakBefore w:val="0"/>
        <w:widowControl/>
        <w:kinsoku/>
        <w:wordWrap/>
        <w:overflowPunct/>
        <w:topLinePunct w:val="0"/>
        <w:autoSpaceDE/>
        <w:autoSpaceDN/>
        <w:bidi w:val="0"/>
        <w:spacing w:after="0" w:line="560" w:lineRule="exact"/>
        <w:ind w:left="0" w:firstLine="640" w:firstLineChars="200"/>
        <w:jc w:val="both"/>
        <w:textAlignment w:val="auto"/>
        <w:rPr>
          <w:rFonts w:hint="default" w:ascii="Times New Roman" w:hAnsi="Times New Roman" w:eastAsia="仿宋_GB2312" w:cs="Times New Roman"/>
          <w:sz w:val="32"/>
          <w:szCs w:val="32"/>
          <w:lang w:eastAsia="zh-CN"/>
        </w:rPr>
      </w:pPr>
      <w:r>
        <w:rPr>
          <w:rFonts w:hint="default" w:ascii="Times New Roman" w:hAnsi="Times New Roman" w:eastAsia="楷体" w:cs="Times New Roman"/>
          <w:sz w:val="32"/>
          <w:szCs w:val="32"/>
          <w:lang w:val="en-US" w:eastAsia="zh-CN"/>
        </w:rPr>
        <w:t>（四）加大金融支持力度。</w:t>
      </w:r>
      <w:r>
        <w:rPr>
          <w:rFonts w:hint="default" w:ascii="Times New Roman" w:hAnsi="Times New Roman" w:eastAsia="仿宋_GB2312" w:cs="Times New Roman"/>
          <w:sz w:val="32"/>
          <w:szCs w:val="32"/>
          <w:lang w:val="en-US" w:eastAsia="zh-CN"/>
        </w:rPr>
        <w:t>一是</w:t>
      </w:r>
      <w:r>
        <w:rPr>
          <w:rFonts w:hint="default" w:ascii="Times New Roman" w:hAnsi="Times New Roman" w:eastAsia="仿宋_GB2312" w:cs="Times New Roman"/>
          <w:sz w:val="32"/>
          <w:szCs w:val="32"/>
        </w:rPr>
        <w:t>各金融机构进一步加大对房地产</w:t>
      </w:r>
      <w:r>
        <w:rPr>
          <w:rFonts w:hint="default" w:ascii="Times New Roman" w:hAnsi="Times New Roman" w:eastAsia="仿宋_GB2312" w:cs="Times New Roman"/>
          <w:sz w:val="32"/>
          <w:szCs w:val="32"/>
          <w:lang w:eastAsia="zh-CN"/>
        </w:rPr>
        <w:t>及</w:t>
      </w:r>
      <w:r>
        <w:rPr>
          <w:rFonts w:hint="default" w:ascii="Times New Roman" w:hAnsi="Times New Roman" w:eastAsia="仿宋_GB2312" w:cs="Times New Roman"/>
          <w:sz w:val="32"/>
          <w:szCs w:val="32"/>
        </w:rPr>
        <w:t>关联产业资金支持力度，聚焦项目建设“资金链”，梳理服务保障“政策链”。</w:t>
      </w:r>
      <w:r>
        <w:rPr>
          <w:rFonts w:hint="default" w:ascii="Times New Roman" w:hAnsi="Times New Roman" w:eastAsia="仿宋_GB2312" w:cs="Times New Roman"/>
          <w:sz w:val="32"/>
          <w:szCs w:val="32"/>
          <w:lang w:eastAsia="zh-CN"/>
        </w:rPr>
        <w:t>鼓励金融机构聚集房地产领域保供稳价，围绕建筑施工、材料供应、农民工工资保障等关键环节，综合运用银承、商票、保理、保函、信用证、“气球贷”、“解困贷”等供应链金融产品，切实缓解房地产及关联产业资金压力。二是对居民已购买一套住房并结清贷款再次按揭贷款购买商品住房的，按首套房支付首付比例。</w:t>
      </w:r>
    </w:p>
    <w:p>
      <w:pPr>
        <w:keepNext w:val="0"/>
        <w:keepLines w:val="0"/>
        <w:pageBreakBefore w:val="0"/>
        <w:widowControl/>
        <w:kinsoku/>
        <w:wordWrap/>
        <w:overflowPunct/>
        <w:topLinePunct w:val="0"/>
        <w:autoSpaceDE/>
        <w:autoSpaceDN/>
        <w:bidi w:val="0"/>
        <w:spacing w:after="0" w:line="560" w:lineRule="exact"/>
        <w:ind w:lef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 w:cs="Times New Roman"/>
          <w:sz w:val="32"/>
          <w:szCs w:val="32"/>
          <w:lang w:val="en-US" w:eastAsia="zh-CN"/>
        </w:rPr>
        <w:t>（五）实行购房补贴。</w:t>
      </w:r>
      <w:r>
        <w:rPr>
          <w:rFonts w:hint="default" w:ascii="Times New Roman" w:hAnsi="Times New Roman" w:eastAsia="仿宋_GB2312" w:cs="Times New Roman"/>
          <w:sz w:val="32"/>
          <w:szCs w:val="32"/>
          <w:lang w:val="en-US" w:eastAsia="zh-CN"/>
        </w:rPr>
        <w:t>主要内容：一是在2022年3月1日至12月31日期间购房、购房面积在144平方米（不含）以内的，以货币形式一次性发放购房补贴，发放标准按照全日制博士生3万元、全日制硕士生2万元、全日制本科生1万元、大中专生（含技工院校）0.6万元执行。二是新市民在周购买新建商品住房并办理网签备案手续的，每套发放面值为5000元的“购房券”。 三是已享受我市引进高层次人才购房补贴政策的，不再享受。</w:t>
      </w:r>
    </w:p>
    <w:p>
      <w:pPr>
        <w:keepNext w:val="0"/>
        <w:keepLines w:val="0"/>
        <w:pageBreakBefore w:val="0"/>
        <w:widowControl/>
        <w:kinsoku/>
        <w:wordWrap/>
        <w:overflowPunct/>
        <w:topLinePunct w:val="0"/>
        <w:autoSpaceDE/>
        <w:autoSpaceDN/>
        <w:bidi w:val="0"/>
        <w:spacing w:after="0" w:line="560" w:lineRule="exact"/>
        <w:ind w:lef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 w:cs="Times New Roman"/>
          <w:sz w:val="32"/>
          <w:szCs w:val="32"/>
          <w:lang w:val="en-US" w:eastAsia="zh-CN"/>
        </w:rPr>
        <w:t>（六）提高公积金贷款额度。</w:t>
      </w:r>
      <w:r>
        <w:rPr>
          <w:rFonts w:hint="default" w:ascii="Times New Roman" w:hAnsi="Times New Roman" w:eastAsia="仿宋_GB2312" w:cs="Times New Roman"/>
          <w:sz w:val="32"/>
          <w:szCs w:val="32"/>
          <w:lang w:val="en-US" w:eastAsia="zh-CN"/>
        </w:rPr>
        <w:t>一是提高公积金贷款额度，将公积金贷款金额由45万元提高至50万元。二是已还清贷款再次利用公积金贷款购买商品住房、夫妻双方均缴纳公积金贷款购房、市引进的高层次人才利用公积金贷款购买商品住房的，公积金贷款额度提高至60万元。</w:t>
      </w:r>
    </w:p>
    <w:p>
      <w:pPr>
        <w:keepNext w:val="0"/>
        <w:keepLines w:val="0"/>
        <w:pageBreakBefore w:val="0"/>
        <w:widowControl/>
        <w:kinsoku/>
        <w:wordWrap/>
        <w:overflowPunct/>
        <w:topLinePunct w:val="0"/>
        <w:autoSpaceDE/>
        <w:autoSpaceDN/>
        <w:bidi w:val="0"/>
        <w:spacing w:after="0" w:line="560" w:lineRule="exact"/>
        <w:ind w:lef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 w:cs="Times New Roman"/>
          <w:sz w:val="32"/>
          <w:szCs w:val="32"/>
          <w:lang w:val="en-US" w:eastAsia="zh-CN"/>
        </w:rPr>
        <w:t>（七）推行征迁安置房票制。</w:t>
      </w:r>
      <w:r>
        <w:rPr>
          <w:rFonts w:hint="default" w:ascii="Times New Roman" w:hAnsi="Times New Roman" w:eastAsia="仿宋_GB2312" w:cs="Times New Roman"/>
          <w:sz w:val="32"/>
          <w:szCs w:val="32"/>
          <w:lang w:val="en-US" w:eastAsia="zh-CN"/>
        </w:rPr>
        <w:t>对中心城区新征迁安置项目，一律实行房票安置。对本《补充意见》下发前没有安置到位的，根据被征迁人申请，也可以实行房票安置。</w:t>
      </w:r>
    </w:p>
    <w:p>
      <w:pPr>
        <w:keepNext w:val="0"/>
        <w:keepLines w:val="0"/>
        <w:pageBreakBefore w:val="0"/>
        <w:widowControl/>
        <w:kinsoku/>
        <w:wordWrap/>
        <w:overflowPunct/>
        <w:topLinePunct w:val="0"/>
        <w:autoSpaceDE/>
        <w:autoSpaceDN/>
        <w:bidi w:val="0"/>
        <w:spacing w:after="0" w:line="560" w:lineRule="exact"/>
        <w:ind w:lef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 w:cs="Times New Roman"/>
          <w:sz w:val="32"/>
          <w:szCs w:val="32"/>
          <w:lang w:val="en-US" w:eastAsia="zh-CN"/>
        </w:rPr>
        <w:t>（八）对购买公寓、写字楼实行契税补贴。</w:t>
      </w:r>
      <w:r>
        <w:rPr>
          <w:rFonts w:hint="default" w:ascii="Times New Roman" w:hAnsi="Times New Roman" w:eastAsia="仿宋_GB2312" w:cs="Times New Roman"/>
          <w:sz w:val="32"/>
          <w:szCs w:val="32"/>
          <w:lang w:val="en-US" w:eastAsia="zh-CN"/>
        </w:rPr>
        <w:t>为扩大住房消费，将购买公寓、写字楼一并纳入购房契税补贴范围。对在2022年3月1日至12月31日购买公寓、写字楼（不含商铺）的，按照实际缴纳税款的50%进行奖励。</w:t>
      </w:r>
    </w:p>
    <w:p>
      <w:pPr>
        <w:keepNext w:val="0"/>
        <w:keepLines w:val="0"/>
        <w:pageBreakBefore w:val="0"/>
        <w:widowControl/>
        <w:kinsoku/>
        <w:wordWrap/>
        <w:overflowPunct/>
        <w:topLinePunct w:val="0"/>
        <w:autoSpaceDE/>
        <w:autoSpaceDN/>
        <w:bidi w:val="0"/>
        <w:spacing w:after="0" w:line="560" w:lineRule="exact"/>
        <w:ind w:left="0" w:firstLine="640" w:firstLineChars="200"/>
        <w:jc w:val="both"/>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楷体" w:cs="Times New Roman"/>
          <w:sz w:val="32"/>
          <w:szCs w:val="32"/>
          <w:lang w:val="en-US" w:eastAsia="zh-CN"/>
        </w:rPr>
        <w:t>（九）提高服务企业效能。</w:t>
      </w:r>
      <w:r>
        <w:rPr>
          <w:rFonts w:hint="default" w:ascii="Times New Roman" w:hAnsi="Times New Roman" w:eastAsia="仿宋_GB2312" w:cs="Times New Roman"/>
          <w:sz w:val="32"/>
          <w:szCs w:val="32"/>
          <w:lang w:val="en-US" w:eastAsia="zh-CN"/>
        </w:rPr>
        <w:t>优化房地产项目审批流程，推行不见面审批及线上办理，房地产项目全流程审批时间控制在37天以内。积极探索工程建设项目实行“多测合一”，整合自然资源规划、住建、人防等部门测绘项目，规范测绘标准，开展联合测绘，实现测绘成果共享。</w:t>
      </w:r>
    </w:p>
    <w:p>
      <w:pPr>
        <w:keepNext w:val="0"/>
        <w:keepLines w:val="0"/>
        <w:pageBreakBefore w:val="0"/>
        <w:widowControl/>
        <w:kinsoku/>
        <w:wordWrap/>
        <w:overflowPunct/>
        <w:topLinePunct w:val="0"/>
        <w:autoSpaceDE/>
        <w:autoSpaceDN/>
        <w:bidi w:val="0"/>
        <w:spacing w:after="0" w:line="560" w:lineRule="exact"/>
        <w:ind w:left="0"/>
        <w:textAlignment w:val="auto"/>
        <w:rPr>
          <w:rFonts w:hint="default" w:ascii="Times New Roman" w:hAnsi="Times New Roman" w:eastAsia="仿宋_GB2312" w:cs="Times New Roman"/>
          <w:sz w:val="32"/>
          <w:szCs w:val="32"/>
        </w:rPr>
      </w:pPr>
      <w:r>
        <w:rPr>
          <w:rFonts w:hint="default" w:ascii="Times New Roman" w:hAnsi="Times New Roman" w:eastAsia="楷体" w:cs="Times New Roman"/>
          <w:sz w:val="32"/>
          <w:szCs w:val="32"/>
          <w:lang w:val="zh-CN" w:eastAsia="zh-CN"/>
        </w:rPr>
        <w:t>（十）加强房地产市场监测预警。</w:t>
      </w:r>
      <w:r>
        <w:rPr>
          <w:rFonts w:hint="default" w:ascii="Times New Roman" w:hAnsi="Times New Roman" w:eastAsia="仿宋_GB2312" w:cs="Times New Roman"/>
          <w:sz w:val="32"/>
          <w:szCs w:val="32"/>
          <w:lang w:val="en-US" w:eastAsia="zh-CN"/>
        </w:rPr>
        <w:t>建立房地产市场监测预警机制，加强分析研判，对出现的问题及时研究对策措施。对列入省问题楼盘台账的项目设立银行专用专户，确保资金安全、专款专用。对在建设过程中出现风险的项目，加强预售资金监管，积极与税务和银行业金融机构对接，将企业留抵退税款、银行保证金退还到项目资金监管账户，增加项目建设资金来源，防范化解项目风险。</w:t>
      </w:r>
      <w:bookmarkStart w:id="0" w:name="_GoBack"/>
      <w:bookmarkEnd w:id="0"/>
    </w:p>
    <w:sectPr>
      <w:footerReference r:id="rId3" w:type="default"/>
      <w:pgSz w:w="11906" w:h="16838"/>
      <w:pgMar w:top="2098" w:right="1474" w:bottom="1984" w:left="1587" w:header="708" w:footer="709" w:gutter="0"/>
      <w:pgNumType w:fmt="numberInDash"/>
      <w:cols w:space="0" w:num="1"/>
      <w:rtlGutter w:val="0"/>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8"/>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CKLCCisQEA&#10;AE4DAAAOAAAAAAAAAAEAIAAAAB4BAABkcnMvZTJvRG9jLnhtbFBLBQYAAAAABgAGAFkBAABBBQAA&#10;AAA=&#10;">
              <v:fill on="f" focussize="0,0"/>
              <v:stroke on="f"/>
              <v:imagedata o:title=""/>
              <o:lock v:ext="edit" aspectratio="f"/>
              <v:textbox inset="0mm,0mm,0mm,0mm" style="mso-fit-shape-to-text:t;">
                <w:txbxContent>
                  <w:p>
                    <w:pPr>
                      <w:pStyle w:val="8"/>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0A778C9"/>
    <w:multiLevelType w:val="singleLevel"/>
    <w:tmpl w:val="A0A778C9"/>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20"/>
  <w:characterSpacingControl w:val="doNotCompress"/>
  <w:hdrShapeDefaults>
    <o:shapelayout v:ext="edit">
      <o:idmap v:ext="edit" data="3,4"/>
    </o:shapelayout>
  </w:hdrShapeDefault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0NDFkMzg1OTI4ZTZjMjNmZGIxNWViYjEzYjJjNWQifQ=="/>
  </w:docVars>
  <w:rsids>
    <w:rsidRoot w:val="00D31D50"/>
    <w:rsid w:val="00323B43"/>
    <w:rsid w:val="00347CA0"/>
    <w:rsid w:val="003D37D8"/>
    <w:rsid w:val="00417BE1"/>
    <w:rsid w:val="00426133"/>
    <w:rsid w:val="004358AB"/>
    <w:rsid w:val="005520AF"/>
    <w:rsid w:val="00613238"/>
    <w:rsid w:val="008B7726"/>
    <w:rsid w:val="00A50C96"/>
    <w:rsid w:val="00B44518"/>
    <w:rsid w:val="00D31D50"/>
    <w:rsid w:val="0E3F0D1C"/>
    <w:rsid w:val="0F3E469D"/>
    <w:rsid w:val="11072281"/>
    <w:rsid w:val="1FD9F662"/>
    <w:rsid w:val="20B70560"/>
    <w:rsid w:val="219EF065"/>
    <w:rsid w:val="228C14CC"/>
    <w:rsid w:val="23C25CEA"/>
    <w:rsid w:val="26481924"/>
    <w:rsid w:val="29F8C420"/>
    <w:rsid w:val="2EFE8197"/>
    <w:rsid w:val="2FBBFD3D"/>
    <w:rsid w:val="2FEF905A"/>
    <w:rsid w:val="357E53BE"/>
    <w:rsid w:val="35AC4D40"/>
    <w:rsid w:val="37BBCA98"/>
    <w:rsid w:val="37DFE8A1"/>
    <w:rsid w:val="37DFF66A"/>
    <w:rsid w:val="39AB4AD6"/>
    <w:rsid w:val="3D6D5974"/>
    <w:rsid w:val="3DDF1219"/>
    <w:rsid w:val="3EBD47ED"/>
    <w:rsid w:val="3EEB5085"/>
    <w:rsid w:val="3F1F1B74"/>
    <w:rsid w:val="3F567737"/>
    <w:rsid w:val="3F67A19B"/>
    <w:rsid w:val="3F6F87EE"/>
    <w:rsid w:val="3F96DED7"/>
    <w:rsid w:val="3FFD3A09"/>
    <w:rsid w:val="3FFF4C3C"/>
    <w:rsid w:val="4ADB62F6"/>
    <w:rsid w:val="4C7CA96E"/>
    <w:rsid w:val="554FAD33"/>
    <w:rsid w:val="57E81DB9"/>
    <w:rsid w:val="57EF3D4F"/>
    <w:rsid w:val="57FF0093"/>
    <w:rsid w:val="5A2D04D2"/>
    <w:rsid w:val="5BCFAAFF"/>
    <w:rsid w:val="5C263983"/>
    <w:rsid w:val="5C2B4D64"/>
    <w:rsid w:val="5D7B86CB"/>
    <w:rsid w:val="5E813963"/>
    <w:rsid w:val="5EFF0682"/>
    <w:rsid w:val="5F37886B"/>
    <w:rsid w:val="5FFF2E25"/>
    <w:rsid w:val="63EDA11D"/>
    <w:rsid w:val="63FF8DEA"/>
    <w:rsid w:val="65DA492E"/>
    <w:rsid w:val="65EE8F16"/>
    <w:rsid w:val="66FBA185"/>
    <w:rsid w:val="6BBF948E"/>
    <w:rsid w:val="6DA41F5B"/>
    <w:rsid w:val="6F2B8D16"/>
    <w:rsid w:val="6F7D0ED9"/>
    <w:rsid w:val="6FFBDFE2"/>
    <w:rsid w:val="71A64128"/>
    <w:rsid w:val="71E9D5C4"/>
    <w:rsid w:val="72E3A611"/>
    <w:rsid w:val="73F384D8"/>
    <w:rsid w:val="775DD313"/>
    <w:rsid w:val="77ACC054"/>
    <w:rsid w:val="77B9E534"/>
    <w:rsid w:val="7976DD53"/>
    <w:rsid w:val="7B7E03D8"/>
    <w:rsid w:val="7BFFB495"/>
    <w:rsid w:val="7C294D9D"/>
    <w:rsid w:val="7C9F4FCB"/>
    <w:rsid w:val="7D3E22E6"/>
    <w:rsid w:val="7DADC29A"/>
    <w:rsid w:val="7DB76981"/>
    <w:rsid w:val="7DEDA676"/>
    <w:rsid w:val="7DFD6CEE"/>
    <w:rsid w:val="7DFFBF97"/>
    <w:rsid w:val="7EBF111B"/>
    <w:rsid w:val="7EEF9D23"/>
    <w:rsid w:val="7EFB8A76"/>
    <w:rsid w:val="7F577BF9"/>
    <w:rsid w:val="7F77E635"/>
    <w:rsid w:val="7F77FAA9"/>
    <w:rsid w:val="7F7E9E4D"/>
    <w:rsid w:val="7FB7A97A"/>
    <w:rsid w:val="7FBE273F"/>
    <w:rsid w:val="7FDBCF07"/>
    <w:rsid w:val="7FDF404B"/>
    <w:rsid w:val="7FED7BC5"/>
    <w:rsid w:val="7FEDB9B7"/>
    <w:rsid w:val="8FBB5D55"/>
    <w:rsid w:val="8FD1A6DE"/>
    <w:rsid w:val="977F9A00"/>
    <w:rsid w:val="9DAB981E"/>
    <w:rsid w:val="9FBE0BF5"/>
    <w:rsid w:val="A34BE02C"/>
    <w:rsid w:val="AD7FD58F"/>
    <w:rsid w:val="AEDC694E"/>
    <w:rsid w:val="AF3DB780"/>
    <w:rsid w:val="AF7FA82F"/>
    <w:rsid w:val="AFE59ACB"/>
    <w:rsid w:val="B7AEED09"/>
    <w:rsid w:val="B7FFBAA4"/>
    <w:rsid w:val="BB73FA38"/>
    <w:rsid w:val="BDFE5C51"/>
    <w:rsid w:val="BDFF837B"/>
    <w:rsid w:val="BFBAA769"/>
    <w:rsid w:val="BFFB6B7D"/>
    <w:rsid w:val="BFFE11C2"/>
    <w:rsid w:val="BFFF8C77"/>
    <w:rsid w:val="BFFFA1A7"/>
    <w:rsid w:val="C7FF1D04"/>
    <w:rsid w:val="D5FFFF44"/>
    <w:rsid w:val="D7FBA9DF"/>
    <w:rsid w:val="D7FE0651"/>
    <w:rsid w:val="D8F7C022"/>
    <w:rsid w:val="DBFFBF66"/>
    <w:rsid w:val="DD1E5A77"/>
    <w:rsid w:val="DEAF8136"/>
    <w:rsid w:val="DF8F9A87"/>
    <w:rsid w:val="DFAD4C62"/>
    <w:rsid w:val="EB676AD5"/>
    <w:rsid w:val="EB6F018C"/>
    <w:rsid w:val="ED7FBA79"/>
    <w:rsid w:val="EDFF205D"/>
    <w:rsid w:val="EFABB2E2"/>
    <w:rsid w:val="EFAF3B0F"/>
    <w:rsid w:val="EFFB5363"/>
    <w:rsid w:val="F1FF19F5"/>
    <w:rsid w:val="F3BA07A6"/>
    <w:rsid w:val="F3DB3BA8"/>
    <w:rsid w:val="F567FB71"/>
    <w:rsid w:val="F5BF4E15"/>
    <w:rsid w:val="F67DA15F"/>
    <w:rsid w:val="F86B542B"/>
    <w:rsid w:val="F8E40E92"/>
    <w:rsid w:val="F9FFCD80"/>
    <w:rsid w:val="FBB55BE8"/>
    <w:rsid w:val="FBBF472A"/>
    <w:rsid w:val="FBD52B82"/>
    <w:rsid w:val="FBE9467A"/>
    <w:rsid w:val="FCDFF845"/>
    <w:rsid w:val="FD7F6BC5"/>
    <w:rsid w:val="FDBACD14"/>
    <w:rsid w:val="FDF63C0A"/>
    <w:rsid w:val="FE7FAC95"/>
    <w:rsid w:val="FEBB4BE1"/>
    <w:rsid w:val="FEBB5AA4"/>
    <w:rsid w:val="FECF8998"/>
    <w:rsid w:val="FEFFFD20"/>
    <w:rsid w:val="FF7F6094"/>
    <w:rsid w:val="FFC7CC1C"/>
    <w:rsid w:val="FFF00584"/>
    <w:rsid w:val="FFF5AC22"/>
    <w:rsid w:val="FFF64467"/>
    <w:rsid w:val="FFF75934"/>
    <w:rsid w:val="FFF7C5BE"/>
    <w:rsid w:val="FFFAD2D8"/>
    <w:rsid w:val="FFFF6CF5"/>
    <w:rsid w:val="FFFFDB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customStyle="1" w:styleId="2">
    <w:name w:val="Body Text First Indent"/>
    <w:basedOn w:val="3"/>
    <w:next w:val="1"/>
    <w:qFormat/>
    <w:uiPriority w:val="0"/>
    <w:pPr>
      <w:ind w:firstLine="420" w:firstLineChars="100"/>
    </w:pPr>
  </w:style>
  <w:style w:type="paragraph" w:styleId="3">
    <w:name w:val="Body Text"/>
    <w:basedOn w:val="1"/>
    <w:next w:val="4"/>
    <w:qFormat/>
    <w:uiPriority w:val="1"/>
    <w:pPr>
      <w:ind w:left="111"/>
    </w:pPr>
    <w:rPr>
      <w:sz w:val="32"/>
      <w:szCs w:val="32"/>
    </w:rPr>
  </w:style>
  <w:style w:type="paragraph" w:customStyle="1" w:styleId="4">
    <w:name w:val="Body Text 2"/>
    <w:basedOn w:val="1"/>
    <w:qFormat/>
    <w:uiPriority w:val="0"/>
    <w:pPr>
      <w:spacing w:after="120" w:line="480" w:lineRule="auto"/>
    </w:pPr>
    <w:rPr>
      <w:rFonts w:hint="default"/>
    </w:rPr>
  </w:style>
  <w:style w:type="paragraph" w:styleId="5">
    <w:name w:val="annotation text"/>
    <w:basedOn w:val="1"/>
    <w:unhideWhenUsed/>
    <w:qFormat/>
    <w:uiPriority w:val="99"/>
    <w:pPr>
      <w:jc w:val="left"/>
    </w:pPr>
  </w:style>
  <w:style w:type="paragraph" w:styleId="6">
    <w:name w:val="Plain Text"/>
    <w:qFormat/>
    <w:uiPriority w:val="0"/>
    <w:pPr>
      <w:ind w:firstLine="880" w:firstLineChars="200"/>
      <w:jc w:val="both"/>
    </w:pPr>
    <w:rPr>
      <w:rFonts w:ascii="宋体" w:hAnsi="Courier New" w:eastAsia="仿宋" w:cs="Times New Roman"/>
      <w:kern w:val="2"/>
      <w:sz w:val="32"/>
      <w:lang w:val="en-US" w:eastAsia="zh-CN" w:bidi="ar-SA"/>
    </w:rPr>
  </w:style>
  <w:style w:type="paragraph" w:styleId="7">
    <w:name w:val="Date"/>
    <w:basedOn w:val="1"/>
    <w:next w:val="1"/>
    <w:link w:val="15"/>
    <w:semiHidden/>
    <w:unhideWhenUsed/>
    <w:qFormat/>
    <w:uiPriority w:val="99"/>
    <w:pPr>
      <w:ind w:left="100" w:leftChars="2500"/>
    </w:pPr>
  </w:style>
  <w:style w:type="paragraph" w:styleId="8">
    <w:name w:val="footer"/>
    <w:basedOn w:val="1"/>
    <w:semiHidden/>
    <w:unhideWhenUsed/>
    <w:qFormat/>
    <w:uiPriority w:val="99"/>
    <w:pPr>
      <w:tabs>
        <w:tab w:val="center" w:pos="4153"/>
        <w:tab w:val="right" w:pos="8306"/>
      </w:tabs>
      <w:snapToGrid w:val="0"/>
      <w:jc w:val="left"/>
    </w:pPr>
    <w:rPr>
      <w:sz w:val="18"/>
    </w:rPr>
  </w:style>
  <w:style w:type="paragraph" w:styleId="9">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Normal (Web)"/>
    <w:basedOn w:val="1"/>
    <w:qFormat/>
    <w:uiPriority w:val="0"/>
    <w:pPr>
      <w:widowControl/>
      <w:spacing w:before="100" w:beforeAutospacing="1" w:after="100" w:afterAutospacing="1"/>
      <w:jc w:val="left"/>
    </w:pPr>
    <w:rPr>
      <w:rFonts w:ascii="宋体" w:hAnsi="宋体" w:cs="宋体"/>
      <w:kern w:val="0"/>
      <w:sz w:val="24"/>
    </w:rPr>
  </w:style>
  <w:style w:type="character" w:styleId="13">
    <w:name w:val="page number"/>
    <w:basedOn w:val="12"/>
    <w:qFormat/>
    <w:uiPriority w:val="0"/>
    <w:rPr>
      <w:rFonts w:ascii="Times New Roman" w:hAnsi="Times New Roman" w:eastAsia="宋体" w:cs="Times New Roman"/>
    </w:rPr>
  </w:style>
  <w:style w:type="paragraph" w:customStyle="1" w:styleId="14">
    <w:name w:val="Body Text First Indent1"/>
    <w:basedOn w:val="3"/>
    <w:next w:val="1"/>
    <w:qFormat/>
    <w:uiPriority w:val="0"/>
    <w:pPr>
      <w:ind w:firstLine="420" w:firstLineChars="100"/>
    </w:pPr>
  </w:style>
  <w:style w:type="character" w:customStyle="1" w:styleId="15">
    <w:name w:val="日期 Char"/>
    <w:basedOn w:val="12"/>
    <w:link w:val="7"/>
    <w:semiHidden/>
    <w:qFormat/>
    <w:uiPriority w:val="99"/>
    <w:rPr>
      <w:rFonts w:ascii="Tahoma" w:hAnsi="Tahoma"/>
    </w:rPr>
  </w:style>
  <w:style w:type="paragraph" w:customStyle="1" w:styleId="16">
    <w:name w:val="Default"/>
    <w:qFormat/>
    <w:uiPriority w:val="0"/>
    <w:pPr>
      <w:widowControl w:val="0"/>
      <w:autoSpaceDE w:val="0"/>
      <w:autoSpaceDN w:val="0"/>
      <w:adjustRightInd w:val="0"/>
    </w:pPr>
    <w:rPr>
      <w:rFonts w:hint="eastAsia" w:ascii="仿宋_GB2312" w:hAnsi="Times New Roman" w:eastAsia="仿宋_GB2312" w:cs="Times New Roman"/>
      <w:color w:val="000000"/>
      <w:sz w:val="24"/>
      <w:szCs w:val="22"/>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5071</Words>
  <Characters>5194</Characters>
  <Lines>1</Lines>
  <Paragraphs>1</Paragraphs>
  <TotalTime>0</TotalTime>
  <ScaleCrop>false</ScaleCrop>
  <LinksUpToDate>false</LinksUpToDate>
  <CharactersWithSpaces>5306</CharactersWithSpaces>
  <Application>WPS Office_11.1.0.9914_F1E327BC-269C-435d-A152-05C5408002CA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2008-09-19T09:20:00Z</dcterms:created>
  <dc:creator>user</dc:creator>
  <cp:lastModifiedBy>360k</cp:lastModifiedBy>
  <cp:lastPrinted>2022-07-25T01:41:00Z</cp:lastPrinted>
  <dcterms:modified xsi:type="dcterms:W3CDTF">2022-11-10T10:51:43Z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2052-11.1.0.9914</vt:lpwstr>
  </property>
  <property fmtid="{D5CDD505-2E9C-101B-9397-08002B2CF9AE}" pid="3" name="commondata">
    <vt:lpwstr>eyJoZGlkIjoiMmQ0NDFkMzg1OTI4ZTZjMjNmZGIxNWViYjEzYjJjNWQifQ==</vt:lpwstr>
  </property>
  <property fmtid="{D5CDD505-2E9C-101B-9397-08002B2CF9AE}" pid="4" name="ICV">
    <vt:lpwstr>C4B073BB8594480B83266180CC3B255C</vt:lpwstr>
  </property>
</Properties>
</file>