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overflowPunct/>
        <w:topLinePunct w:val="0"/>
        <w:autoSpaceDE/>
        <w:autoSpaceDN/>
        <w:bidi w:val="0"/>
        <w:spacing w:after="0" w:line="560" w:lineRule="exact"/>
        <w:ind w:left="0"/>
        <w:jc w:val="center"/>
        <w:textAlignment w:val="auto"/>
        <w:rPr>
          <w:rFonts w:hint="default" w:ascii="Times New Roman" w:hAnsi="Times New Roman" w:eastAsia="方正小标宋简体" w:cs="Times New Roman"/>
          <w:color w:val="auto"/>
          <w:sz w:val="44"/>
          <w:szCs w:val="44"/>
          <w:shd w:val="clear" w:fill="FFFFFF"/>
          <w:lang w:val="en-US" w:eastAsia="zh-CN" w:bidi="ar"/>
        </w:rPr>
      </w:pPr>
    </w:p>
    <w:p>
      <w:pPr>
        <w:keepNext w:val="0"/>
        <w:keepLines w:val="0"/>
        <w:pageBreakBefore w:val="0"/>
        <w:widowControl/>
        <w:kinsoku/>
        <w:wordWrap/>
        <w:overflowPunct/>
        <w:topLinePunct w:val="0"/>
        <w:autoSpaceDE/>
        <w:autoSpaceDN/>
        <w:bidi w:val="0"/>
        <w:spacing w:after="0" w:line="560" w:lineRule="exact"/>
        <w:ind w:left="0"/>
        <w:jc w:val="center"/>
        <w:textAlignment w:val="auto"/>
        <w:rPr>
          <w:rFonts w:hint="eastAsia" w:ascii="Times New Roman" w:hAnsi="Times New Roman" w:eastAsia="方正小标宋简体" w:cs="Times New Roman"/>
          <w:color w:val="auto"/>
          <w:sz w:val="44"/>
          <w:szCs w:val="44"/>
          <w:shd w:val="clear" w:fill="FFFFFF"/>
          <w:lang w:val="en-US" w:eastAsia="zh-CN" w:bidi="ar"/>
        </w:rPr>
      </w:pPr>
      <w:r>
        <w:rPr>
          <w:rFonts w:hint="eastAsia" w:ascii="Times New Roman" w:hAnsi="Times New Roman" w:eastAsia="方正小标宋简体" w:cs="Times New Roman"/>
          <w:color w:val="auto"/>
          <w:sz w:val="44"/>
          <w:szCs w:val="44"/>
          <w:shd w:val="clear" w:fill="FFFFFF"/>
          <w:lang w:val="en-US" w:eastAsia="zh-CN" w:bidi="ar"/>
        </w:rPr>
        <w:t>关于进一步保持房地产市场平稳健康发展</w:t>
      </w:r>
    </w:p>
    <w:p>
      <w:pPr>
        <w:keepNext w:val="0"/>
        <w:keepLines w:val="0"/>
        <w:pageBreakBefore w:val="0"/>
        <w:widowControl/>
        <w:kinsoku/>
        <w:wordWrap/>
        <w:overflowPunct/>
        <w:topLinePunct w:val="0"/>
        <w:autoSpaceDE/>
        <w:autoSpaceDN/>
        <w:bidi w:val="0"/>
        <w:spacing w:after="0" w:line="560" w:lineRule="exact"/>
        <w:ind w:left="0"/>
        <w:jc w:val="center"/>
        <w:textAlignment w:val="auto"/>
        <w:rPr>
          <w:rFonts w:hint="default" w:ascii="Times New Roman" w:hAnsi="Times New Roman" w:eastAsia="方正小标宋简体" w:cs="Times New Roman"/>
          <w:color w:val="auto"/>
          <w:sz w:val="44"/>
          <w:szCs w:val="44"/>
          <w:shd w:val="clear" w:fill="FFFFFF"/>
          <w:lang w:val="en-US" w:eastAsia="zh-CN" w:bidi="ar"/>
        </w:rPr>
      </w:pPr>
      <w:r>
        <w:rPr>
          <w:rFonts w:hint="eastAsia" w:ascii="Times New Roman" w:hAnsi="Times New Roman" w:eastAsia="方正小标宋简体" w:cs="Times New Roman"/>
          <w:color w:val="auto"/>
          <w:sz w:val="44"/>
          <w:szCs w:val="44"/>
          <w:shd w:val="clear" w:fill="FFFFFF"/>
          <w:lang w:val="en-US" w:eastAsia="zh-CN" w:bidi="ar"/>
        </w:rPr>
        <w:t>若干政策措施</w:t>
      </w:r>
      <w:r>
        <w:rPr>
          <w:rFonts w:hint="default" w:ascii="Times New Roman" w:hAnsi="Times New Roman" w:eastAsia="方正小标宋简体" w:cs="Times New Roman"/>
          <w:color w:val="auto"/>
          <w:sz w:val="44"/>
          <w:szCs w:val="44"/>
          <w:shd w:val="clear" w:fill="FFFFFF"/>
          <w:lang w:val="en-US" w:eastAsia="zh-CN" w:bidi="ar"/>
        </w:rPr>
        <w:t>（</w:t>
      </w:r>
      <w:r>
        <w:rPr>
          <w:rFonts w:hint="eastAsia" w:ascii="Times New Roman" w:hAnsi="Times New Roman" w:eastAsia="方正小标宋简体" w:cs="Times New Roman"/>
          <w:color w:val="auto"/>
          <w:sz w:val="44"/>
          <w:szCs w:val="44"/>
          <w:shd w:val="clear" w:fill="FFFFFF"/>
          <w:lang w:val="en-US" w:eastAsia="zh-CN" w:bidi="ar"/>
        </w:rPr>
        <w:t>征求意见稿</w:t>
      </w:r>
      <w:r>
        <w:rPr>
          <w:rFonts w:hint="default" w:ascii="Times New Roman" w:hAnsi="Times New Roman" w:eastAsia="方正小标宋简体" w:cs="Times New Roman"/>
          <w:color w:val="auto"/>
          <w:sz w:val="44"/>
          <w:szCs w:val="44"/>
          <w:shd w:val="clear" w:fill="FFFFFF"/>
          <w:lang w:val="en-US" w:eastAsia="zh-CN" w:bidi="ar"/>
        </w:rPr>
        <w:t>）</w:t>
      </w:r>
    </w:p>
    <w:p>
      <w:pPr>
        <w:pStyle w:val="2"/>
        <w:keepNext w:val="0"/>
        <w:keepLines w:val="0"/>
        <w:pageBreakBefore w:val="0"/>
        <w:widowControl/>
        <w:kinsoku/>
        <w:wordWrap/>
        <w:overflowPunct/>
        <w:topLinePunct w:val="0"/>
        <w:autoSpaceDE/>
        <w:autoSpaceDN/>
        <w:bidi w:val="0"/>
        <w:spacing w:line="560" w:lineRule="exact"/>
        <w:ind w:left="0"/>
        <w:textAlignment w:val="auto"/>
        <w:rPr>
          <w:rFonts w:hint="default" w:ascii="Times New Roman" w:hAnsi="Times New Roman" w:cs="Times New Roman"/>
          <w:lang w:eastAsia="zh-CN"/>
        </w:rPr>
      </w:pPr>
    </w:p>
    <w:p>
      <w:pPr>
        <w:keepNext w:val="0"/>
        <w:keepLines w:val="0"/>
        <w:pageBreakBefore w:val="0"/>
        <w:widowControl/>
        <w:kinsoku/>
        <w:wordWrap/>
        <w:overflowPunct/>
        <w:topLinePunct w:val="0"/>
        <w:autoSpaceDE/>
        <w:autoSpaceDN/>
        <w:bidi w:val="0"/>
        <w:spacing w:after="0" w:line="560" w:lineRule="exact"/>
        <w:ind w:left="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为进一步贯彻落实国务院、省政府和市政府关于稳经济一揽子政策、保持房地产良性循环健康发展的决策部署，积极为企业纾困解难，按照市政府房地产银企对接座谈会会议精神，在落实《关于保持房地产市场平稳健康发展的若干意见》（周政办〔2022〕35号）的基础上，结合我市房地产市场发展实际，现提出如下补充落实意见。</w:t>
      </w:r>
    </w:p>
    <w:p>
      <w:pPr>
        <w:keepNext w:val="0"/>
        <w:keepLines w:val="0"/>
        <w:pageBreakBefore w:val="0"/>
        <w:widowControl/>
        <w:kinsoku/>
        <w:wordWrap/>
        <w:overflowPunct/>
        <w:topLinePunct w:val="0"/>
        <w:autoSpaceDE/>
        <w:autoSpaceDN/>
        <w:bidi w:val="0"/>
        <w:spacing w:after="0" w:line="560" w:lineRule="exact"/>
        <w:ind w:left="0" w:firstLine="640" w:firstLineChars="200"/>
        <w:textAlignment w:val="auto"/>
        <w:rPr>
          <w:rFonts w:hint="default" w:ascii="黑体" w:hAnsi="黑体" w:eastAsia="黑体" w:cs="黑体"/>
          <w:sz w:val="32"/>
          <w:szCs w:val="32"/>
          <w:lang w:val="en-US" w:eastAsia="zh-CN"/>
        </w:rPr>
      </w:pPr>
      <w:r>
        <w:rPr>
          <w:rFonts w:hint="default" w:ascii="黑体" w:hAnsi="黑体" w:eastAsia="黑体" w:cs="黑体"/>
          <w:sz w:val="32"/>
          <w:szCs w:val="32"/>
          <w:lang w:val="en-US" w:eastAsia="zh-CN"/>
        </w:rPr>
        <w:t>一、优化商品房预售资金监管</w:t>
      </w:r>
    </w:p>
    <w:p>
      <w:pPr>
        <w:keepNext w:val="0"/>
        <w:keepLines w:val="0"/>
        <w:pageBreakBefore w:val="0"/>
        <w:widowControl/>
        <w:kinsoku/>
        <w:wordWrap/>
        <w:overflowPunct/>
        <w:topLinePunct w:val="0"/>
        <w:autoSpaceDE/>
        <w:autoSpaceDN/>
        <w:bidi w:val="0"/>
        <w:spacing w:after="0" w:line="560" w:lineRule="exact"/>
        <w:ind w:lef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（一）</w:t>
      </w:r>
      <w:r>
        <w:rPr>
          <w:rFonts w:hint="default" w:ascii="Times New Roman" w:hAnsi="Times New Roman" w:eastAsia="仿宋_GB2312" w:cs="Times New Roman"/>
          <w:sz w:val="32"/>
          <w:szCs w:val="32"/>
          <w:lang w:val="zh-CN"/>
        </w:rPr>
        <w:t>实行以保函形式等额替代资金监管。按照市场化、法治化原则，通过银行保函、商业保险、国有担</w:t>
      </w:r>
      <w:r>
        <w:rPr>
          <w:rFonts w:hint="default" w:ascii="Times New Roman" w:hAnsi="Times New Roman" w:eastAsia="仿宋_GB2312" w:cs="Times New Roman"/>
          <w:sz w:val="32"/>
          <w:szCs w:val="32"/>
          <w:lang w:val="zh-CN" w:eastAsia="zh-CN"/>
        </w:rPr>
        <w:t>保公司保函替代等方式，在确保项目竣工交付所需资金的前提下合理释放预售监管资金流动性，帮助企业</w:t>
      </w:r>
      <w:r>
        <w:rPr>
          <w:rFonts w:hint="default" w:ascii="Times New Roman" w:hAnsi="Times New Roman" w:eastAsia="仿宋_GB2312" w:cs="Times New Roman"/>
          <w:sz w:val="32"/>
          <w:szCs w:val="32"/>
          <w:lang w:val="en-US" w:eastAsia="zh-CN"/>
        </w:rPr>
        <w:t>纾困解难</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 xml:space="preserve"> </w:t>
      </w:r>
    </w:p>
    <w:p>
      <w:pPr>
        <w:keepNext w:val="0"/>
        <w:keepLines w:val="0"/>
        <w:pageBreakBefore w:val="0"/>
        <w:widowControl/>
        <w:numPr>
          <w:ilvl w:val="0"/>
          <w:numId w:val="0"/>
        </w:numPr>
        <w:kinsoku/>
        <w:wordWrap/>
        <w:overflowPunct/>
        <w:topLinePunct w:val="0"/>
        <w:autoSpaceDE/>
        <w:autoSpaceDN/>
        <w:bidi w:val="0"/>
        <w:adjustRightInd/>
        <w:snapToGrid/>
        <w:spacing w:after="0" w:line="560" w:lineRule="exact"/>
        <w:ind w:lef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（二）以政府应付款盘活预售监管资金。政</w:t>
      </w:r>
      <w:r>
        <w:rPr>
          <w:rFonts w:hint="default" w:ascii="Times New Roman" w:hAnsi="Times New Roman" w:eastAsia="方正仿宋_GBK" w:cs="Times New Roman"/>
          <w:sz w:val="32"/>
          <w:szCs w:val="32"/>
          <w:lang w:val="en-US" w:eastAsia="zh-CN"/>
        </w:rPr>
        <w:t>府应付款包括政府（管委会）、国有企事业由于种种原因应付给房地产开发企业资金，开发企业前期在征迁安置、项目建设等方面的投资，政府（管委会）及行业主管部门应退还给企业的各类保证金等。在风险可控的前提下，以依法确认、政府认可的政府应付款金额为上限，将预售资金监管账户内等额资金用于支付农民工工资、工程款、材料款，缓解开发企业资金压力。</w:t>
      </w:r>
    </w:p>
    <w:p>
      <w:pPr>
        <w:keepNext w:val="0"/>
        <w:keepLines w:val="0"/>
        <w:pageBreakBefore w:val="0"/>
        <w:widowControl/>
        <w:kinsoku/>
        <w:wordWrap/>
        <w:overflowPunct/>
        <w:topLinePunct w:val="0"/>
        <w:autoSpaceDE/>
        <w:autoSpaceDN/>
        <w:bidi w:val="0"/>
        <w:spacing w:after="0" w:line="560" w:lineRule="exact"/>
        <w:ind w:lef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（三）探索实行同区域、同项目统筹使用预售监管资金。按企业信用等级实行差异化同区域、同项目统筹使用预售资金。对企业信用评为</w:t>
      </w:r>
      <w:r>
        <w:rPr>
          <w:rFonts w:hint="eastAsia" w:ascii="华文仿宋" w:hAnsi="华文仿宋" w:eastAsia="仿宋_GB2312" w:cs="华文仿宋"/>
          <w:sz w:val="32"/>
          <w:szCs w:val="32"/>
          <w:lang w:val="en-US" w:eastAsia="zh-CN"/>
        </w:rPr>
        <w:t>AAA级</w:t>
      </w:r>
      <w:r>
        <w:rPr>
          <w:rFonts w:hint="default" w:ascii="Times New Roman" w:hAnsi="Times New Roman" w:eastAsia="仿宋_GB2312" w:cs="Times New Roman"/>
          <w:sz w:val="32"/>
          <w:szCs w:val="32"/>
          <w:lang w:val="en-US" w:eastAsia="zh-CN"/>
        </w:rPr>
        <w:t>的企业，综合考虑各项目销售情况、形象进度、剩余货值、市场前景、资金需求等因素，在确保各项目预售资金安全、项目建设资金来源稳定、充足的前提下，可以根据企业资金需求情况，在同城内、同项目内统筹使用预售资金，资金必须用于项目建设，直接转入施工单位账户。必须是重资产项目才可以统筹使用预售资金。</w:t>
      </w:r>
    </w:p>
    <w:p>
      <w:pPr>
        <w:keepNext w:val="0"/>
        <w:keepLines w:val="0"/>
        <w:pageBreakBefore w:val="0"/>
        <w:widowControl/>
        <w:kinsoku/>
        <w:wordWrap/>
        <w:overflowPunct/>
        <w:topLinePunct w:val="0"/>
        <w:autoSpaceDE/>
        <w:autoSpaceDN/>
        <w:bidi w:val="0"/>
        <w:spacing w:after="0" w:line="560" w:lineRule="exact"/>
        <w:ind w:left="0" w:firstLine="640" w:firstLineChars="200"/>
        <w:textAlignment w:val="auto"/>
        <w:rPr>
          <w:rFonts w:hint="default" w:ascii="黑体" w:hAnsi="黑体" w:eastAsia="黑体" w:cs="黑体"/>
          <w:sz w:val="32"/>
          <w:szCs w:val="32"/>
          <w:lang w:val="zh-CN"/>
        </w:rPr>
      </w:pPr>
      <w:r>
        <w:rPr>
          <w:rFonts w:hint="default" w:ascii="黑体" w:hAnsi="黑体" w:eastAsia="黑体" w:cs="黑体"/>
          <w:sz w:val="32"/>
          <w:szCs w:val="32"/>
          <w:lang w:val="zh-CN"/>
        </w:rPr>
        <w:t>二、顺延房地产项目交付期限</w:t>
      </w:r>
    </w:p>
    <w:p>
      <w:pPr>
        <w:keepNext w:val="0"/>
        <w:keepLines w:val="0"/>
        <w:pageBreakBefore w:val="0"/>
        <w:widowControl/>
        <w:kinsoku/>
        <w:wordWrap/>
        <w:overflowPunct/>
        <w:topLinePunct w:val="0"/>
        <w:autoSpaceDE/>
        <w:autoSpaceDN/>
        <w:bidi w:val="0"/>
        <w:spacing w:after="0" w:line="560" w:lineRule="exact"/>
        <w:ind w:left="0" w:firstLine="640" w:firstLineChars="200"/>
        <w:jc w:val="both"/>
        <w:textAlignment w:val="auto"/>
        <w:rPr>
          <w:rFonts w:hint="default" w:ascii="Times New Roman" w:hAnsi="Times New Roman" w:eastAsia="仿宋_GB2312" w:cs="Times New Roman"/>
          <w:sz w:val="32"/>
          <w:szCs w:val="32"/>
          <w:lang w:val="zh-CN"/>
        </w:rPr>
      </w:pPr>
      <w:r>
        <w:rPr>
          <w:rFonts w:hint="default" w:ascii="Times New Roman" w:hAnsi="Times New Roman" w:eastAsia="仿宋_GB2312" w:cs="Times New Roman"/>
          <w:sz w:val="32"/>
          <w:szCs w:val="32"/>
          <w:lang w:val="zh-CN"/>
        </w:rPr>
        <w:t>（四）根据河南省人民政府关于印发《贯彻落实稳住经济一揽子政策措施实施方案的通知》</w:t>
      </w:r>
      <w:r>
        <w:rPr>
          <w:rFonts w:hint="eastAsia" w:ascii="华文仿宋" w:hAnsi="华文仿宋" w:eastAsia="仿宋_GB2312" w:cs="华文仿宋"/>
          <w:sz w:val="32"/>
          <w:szCs w:val="32"/>
          <w:lang w:val="zh-CN"/>
        </w:rPr>
        <w:t>（豫政〔2022〕19号）</w:t>
      </w:r>
      <w:r>
        <w:rPr>
          <w:rFonts w:hint="default" w:ascii="Times New Roman" w:hAnsi="Times New Roman" w:eastAsia="仿宋_GB2312" w:cs="Times New Roman"/>
          <w:sz w:val="32"/>
          <w:szCs w:val="32"/>
          <w:lang w:val="zh-CN"/>
        </w:rPr>
        <w:t>要求，将疫情影响列为不可抗力因素，受疫情等不可抗力影响的房地产项目在不能按规定期限履行施工和商品房交付时，施工方和开发企业可相应顺延交付期限，</w:t>
      </w:r>
      <w:r>
        <w:rPr>
          <w:rFonts w:hint="default" w:ascii="Times New Roman" w:hAnsi="Times New Roman" w:eastAsia="仿宋_GB2312" w:cs="Times New Roman"/>
          <w:sz w:val="32"/>
          <w:szCs w:val="32"/>
          <w:lang w:val="en-US" w:eastAsia="zh-CN"/>
        </w:rPr>
        <w:t>具体顺延日期由市住房和城乡建设局商市疫情防控指挥部发布，每半年发布一次。受</w:t>
      </w:r>
      <w:r>
        <w:rPr>
          <w:rFonts w:hint="default" w:ascii="Times New Roman" w:hAnsi="Times New Roman" w:eastAsia="仿宋_GB2312" w:cs="Times New Roman"/>
          <w:sz w:val="32"/>
          <w:szCs w:val="32"/>
          <w:lang w:val="zh-CN"/>
        </w:rPr>
        <w:t>疫情不可抗力影响而造成延期交房的，房地产开发企业要与施工企业加强沟通，协作配合，科学制定施工进度时间表，采取得力措施加快工程建设进度，尽力维护好保障好购房群众的合法权益。因不可抗力造成延期交房的，房地产企业要扛起主体责任，切实做好购房群众政策宣传工作，采取得力措施，避免因延期交房等原因引发上访、涉诉事件的发生。</w:t>
      </w:r>
    </w:p>
    <w:p>
      <w:pPr>
        <w:keepNext w:val="0"/>
        <w:keepLines w:val="0"/>
        <w:pageBreakBefore w:val="0"/>
        <w:widowControl/>
        <w:kinsoku/>
        <w:wordWrap/>
        <w:overflowPunct/>
        <w:topLinePunct w:val="0"/>
        <w:autoSpaceDE/>
        <w:autoSpaceDN/>
        <w:bidi w:val="0"/>
        <w:spacing w:after="0" w:line="560" w:lineRule="exact"/>
        <w:ind w:left="0" w:firstLine="640" w:firstLineChars="200"/>
        <w:textAlignment w:val="auto"/>
        <w:rPr>
          <w:rFonts w:hint="default" w:ascii="黑体" w:hAnsi="黑体" w:eastAsia="黑体" w:cs="黑体"/>
          <w:sz w:val="32"/>
          <w:szCs w:val="32"/>
          <w:lang w:val="en-US" w:eastAsia="zh-CN"/>
        </w:rPr>
      </w:pPr>
      <w:r>
        <w:rPr>
          <w:rFonts w:hint="default" w:ascii="黑体" w:hAnsi="黑体" w:eastAsia="黑体" w:cs="黑体"/>
          <w:sz w:val="32"/>
          <w:szCs w:val="32"/>
          <w:lang w:val="en-US" w:eastAsia="zh-CN"/>
        </w:rPr>
        <w:t>三、拓展工程款支付渠道</w:t>
      </w:r>
    </w:p>
    <w:p>
      <w:pPr>
        <w:keepNext w:val="0"/>
        <w:keepLines w:val="0"/>
        <w:pageBreakBefore w:val="0"/>
        <w:widowControl/>
        <w:kinsoku/>
        <w:wordWrap/>
        <w:overflowPunct/>
        <w:topLinePunct w:val="0"/>
        <w:autoSpaceDE/>
        <w:autoSpaceDN/>
        <w:bidi w:val="0"/>
        <w:spacing w:after="0" w:line="560" w:lineRule="exact"/>
        <w:ind w:left="0" w:firstLine="640" w:firstLineChars="200"/>
        <w:jc w:val="both"/>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五）建立工程款多渠道支付途径，按照实事求是、平等互利、公平自愿的原则，对以实物抵顶各种欠款的施工单位、材料供应单位等，可以企业或个人名义办理网签备案手续，稳定市场供应，支持企业复工复产。</w:t>
      </w:r>
    </w:p>
    <w:p>
      <w:pPr>
        <w:keepNext w:val="0"/>
        <w:keepLines w:val="0"/>
        <w:pageBreakBefore w:val="0"/>
        <w:widowControl/>
        <w:kinsoku/>
        <w:wordWrap/>
        <w:overflowPunct/>
        <w:topLinePunct w:val="0"/>
        <w:autoSpaceDE/>
        <w:autoSpaceDN/>
        <w:bidi w:val="0"/>
        <w:spacing w:after="0" w:line="560" w:lineRule="exact"/>
        <w:ind w:left="0" w:firstLine="640" w:firstLineChars="200"/>
        <w:textAlignment w:val="auto"/>
        <w:rPr>
          <w:rFonts w:hint="default" w:ascii="黑体" w:hAnsi="黑体" w:eastAsia="黑体" w:cs="黑体"/>
          <w:sz w:val="32"/>
          <w:szCs w:val="32"/>
          <w:lang w:val="en-US" w:eastAsia="zh-CN"/>
        </w:rPr>
      </w:pPr>
      <w:r>
        <w:rPr>
          <w:rFonts w:hint="default" w:ascii="黑体" w:hAnsi="黑体" w:eastAsia="黑体" w:cs="黑体"/>
          <w:sz w:val="32"/>
          <w:szCs w:val="32"/>
          <w:lang w:val="en-US" w:eastAsia="zh-CN"/>
        </w:rPr>
        <w:t>四、加大金融支持力度</w:t>
      </w:r>
    </w:p>
    <w:p>
      <w:pPr>
        <w:keepNext w:val="0"/>
        <w:keepLines w:val="0"/>
        <w:pageBreakBefore w:val="0"/>
        <w:widowControl/>
        <w:kinsoku/>
        <w:wordWrap/>
        <w:overflowPunct/>
        <w:topLinePunct w:val="0"/>
        <w:autoSpaceDE/>
        <w:autoSpaceDN/>
        <w:bidi w:val="0"/>
        <w:spacing w:after="0" w:line="560" w:lineRule="exact"/>
        <w:ind w:left="0"/>
        <w:jc w:val="both"/>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val="en-US" w:eastAsia="zh-CN"/>
        </w:rPr>
        <w:t xml:space="preserve">     （六）</w:t>
      </w:r>
      <w:r>
        <w:rPr>
          <w:rFonts w:hint="default" w:ascii="Times New Roman" w:hAnsi="Times New Roman" w:eastAsia="仿宋_GB2312" w:cs="Times New Roman"/>
          <w:sz w:val="32"/>
          <w:szCs w:val="32"/>
        </w:rPr>
        <w:t>各金融机构进一步加大对房地产</w:t>
      </w:r>
      <w:r>
        <w:rPr>
          <w:rFonts w:hint="default" w:ascii="Times New Roman" w:hAnsi="Times New Roman" w:eastAsia="仿宋_GB2312" w:cs="Times New Roman"/>
          <w:sz w:val="32"/>
          <w:szCs w:val="32"/>
          <w:lang w:eastAsia="zh-CN"/>
        </w:rPr>
        <w:t>及</w:t>
      </w:r>
      <w:r>
        <w:rPr>
          <w:rFonts w:hint="default" w:ascii="Times New Roman" w:hAnsi="Times New Roman" w:eastAsia="仿宋_GB2312" w:cs="Times New Roman"/>
          <w:sz w:val="32"/>
          <w:szCs w:val="32"/>
        </w:rPr>
        <w:t>关联产业资金支持力度，聚焦项目建设</w:t>
      </w:r>
      <w:r>
        <w:rPr>
          <w:rFonts w:hint="eastAsia" w:ascii="华文仿宋" w:hAnsi="华文仿宋" w:eastAsia="仿宋_GB2312" w:cs="华文仿宋"/>
          <w:sz w:val="32"/>
          <w:szCs w:val="32"/>
        </w:rPr>
        <w:t>“资金链”，梳理服务保障“政策链”。</w:t>
      </w:r>
      <w:r>
        <w:rPr>
          <w:rFonts w:hint="eastAsia" w:ascii="华文仿宋" w:hAnsi="华文仿宋" w:eastAsia="仿宋_GB2312" w:cs="华文仿宋"/>
          <w:sz w:val="32"/>
          <w:szCs w:val="32"/>
          <w:lang w:eastAsia="zh-CN"/>
        </w:rPr>
        <w:t>鼓励金融机构聚集房地产领域保供稳价，围绕建筑施工、材料供应、农民工工资保障等关键环节，综合运用银承、商票、保理、保函、信用证、“气球贷”、“解困贷”</w:t>
      </w:r>
      <w:r>
        <w:rPr>
          <w:rFonts w:hint="default" w:ascii="Times New Roman" w:hAnsi="Times New Roman" w:eastAsia="仿宋_GB2312" w:cs="Times New Roman"/>
          <w:sz w:val="32"/>
          <w:szCs w:val="32"/>
          <w:lang w:eastAsia="zh-CN"/>
        </w:rPr>
        <w:t>等供应链金融产品，切实缓解房地产及关联产业资金压力，助力我市房地产市场健康、平稳发展；对居民已购买一套住房并结清贷款再次按揭贷款购买商品住房的，按首套房支付首付比例。</w:t>
      </w:r>
    </w:p>
    <w:p>
      <w:pPr>
        <w:keepNext w:val="0"/>
        <w:keepLines w:val="0"/>
        <w:pageBreakBefore w:val="0"/>
        <w:widowControl/>
        <w:kinsoku/>
        <w:wordWrap/>
        <w:overflowPunct/>
        <w:topLinePunct w:val="0"/>
        <w:autoSpaceDE/>
        <w:autoSpaceDN/>
        <w:bidi w:val="0"/>
        <w:spacing w:after="0" w:line="560" w:lineRule="exact"/>
        <w:ind w:left="0" w:firstLine="640" w:firstLineChars="200"/>
        <w:textAlignment w:val="auto"/>
        <w:rPr>
          <w:rFonts w:hint="default" w:ascii="黑体" w:hAnsi="黑体" w:eastAsia="黑体" w:cs="黑体"/>
          <w:sz w:val="32"/>
          <w:szCs w:val="32"/>
          <w:lang w:val="en-US" w:eastAsia="zh-CN"/>
        </w:rPr>
      </w:pPr>
      <w:r>
        <w:rPr>
          <w:rFonts w:hint="default" w:ascii="黑体" w:hAnsi="黑体" w:eastAsia="黑体" w:cs="黑体"/>
          <w:sz w:val="32"/>
          <w:szCs w:val="32"/>
          <w:lang w:val="en-US" w:eastAsia="zh-CN"/>
        </w:rPr>
        <w:t>五、实行购房补贴</w:t>
      </w:r>
    </w:p>
    <w:p>
      <w:pPr>
        <w:keepNext w:val="0"/>
        <w:keepLines w:val="0"/>
        <w:pageBreakBefore w:val="0"/>
        <w:widowControl/>
        <w:kinsoku/>
        <w:wordWrap/>
        <w:overflowPunct/>
        <w:topLinePunct w:val="0"/>
        <w:autoSpaceDE/>
        <w:autoSpaceDN/>
        <w:bidi w:val="0"/>
        <w:spacing w:after="0" w:line="560" w:lineRule="exact"/>
        <w:ind w:left="0" w:firstLine="640" w:firstLineChars="200"/>
        <w:jc w:val="both"/>
        <w:textAlignment w:val="auto"/>
        <w:rPr>
          <w:rFonts w:hint="eastAsia"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七）在2022年3月1日至12月31日期间购房、购房面积在144平方米（不含）以内的，以货币形式一次性发放购房补贴，发放标准为国家统招博士生、硕士生、本科生、大中专生（含技工院校）分别补贴3万元、2万元、1万元、0.6万元。</w:t>
      </w:r>
      <w:r>
        <w:rPr>
          <w:rFonts w:hint="eastAsia" w:ascii="Times New Roman" w:hAnsi="Times New Roman" w:eastAsia="仿宋_GB2312" w:cs="Times New Roman"/>
          <w:sz w:val="32"/>
          <w:szCs w:val="32"/>
          <w:lang w:val="en-US" w:eastAsia="zh-CN"/>
        </w:rPr>
        <w:t xml:space="preserve">  </w:t>
      </w:r>
    </w:p>
    <w:p>
      <w:pPr>
        <w:keepNext w:val="0"/>
        <w:keepLines w:val="0"/>
        <w:pageBreakBefore w:val="0"/>
        <w:widowControl/>
        <w:kinsoku/>
        <w:wordWrap/>
        <w:overflowPunct/>
        <w:topLinePunct w:val="0"/>
        <w:autoSpaceDE/>
        <w:autoSpaceDN/>
        <w:bidi w:val="0"/>
        <w:spacing w:after="0" w:line="560" w:lineRule="exact"/>
        <w:ind w:left="0" w:firstLine="640" w:firstLineChars="200"/>
        <w:jc w:val="both"/>
        <w:textAlignment w:val="auto"/>
        <w:rPr>
          <w:rFonts w:hint="eastAsia" w:ascii="华文仿宋" w:hAnsi="华文仿宋" w:eastAsia="仿宋_GB2312" w:cs="华文仿宋"/>
          <w:sz w:val="32"/>
          <w:szCs w:val="32"/>
          <w:lang w:val="en-US" w:eastAsia="zh-CN"/>
        </w:rPr>
      </w:pPr>
      <w:r>
        <w:rPr>
          <w:rFonts w:hint="eastAsia" w:ascii="华文仿宋" w:hAnsi="华文仿宋" w:eastAsia="仿宋_GB2312" w:cs="华文仿宋"/>
          <w:sz w:val="32"/>
          <w:szCs w:val="32"/>
          <w:lang w:val="en-US" w:eastAsia="zh-CN"/>
        </w:rPr>
        <w:t>（八）新市民在周购买新建商品住房并办理网签备案手续的，每套发放面值为5000元的“购房券”。</w:t>
      </w:r>
    </w:p>
    <w:p>
      <w:pPr>
        <w:keepNext w:val="0"/>
        <w:keepLines w:val="0"/>
        <w:pageBreakBefore w:val="0"/>
        <w:widowControl/>
        <w:kinsoku/>
        <w:wordWrap/>
        <w:overflowPunct/>
        <w:topLinePunct w:val="0"/>
        <w:autoSpaceDE/>
        <w:autoSpaceDN/>
        <w:bidi w:val="0"/>
        <w:spacing w:after="0" w:line="560" w:lineRule="exact"/>
        <w:ind w:left="0"/>
        <w:jc w:val="both"/>
        <w:textAlignment w:val="auto"/>
        <w:rPr>
          <w:rFonts w:hint="default" w:ascii="Times New Roman" w:hAnsi="Times New Roman" w:eastAsia="仿宋_GB2312" w:cs="Times New Roman"/>
          <w:sz w:val="32"/>
          <w:szCs w:val="32"/>
          <w:lang w:val="en-US" w:eastAsia="zh-CN"/>
        </w:rPr>
      </w:pPr>
      <w:r>
        <w:rPr>
          <w:rFonts w:hint="eastAsia" w:ascii="华文仿宋" w:hAnsi="华文仿宋" w:eastAsia="仿宋_GB2312" w:cs="华文仿宋"/>
          <w:sz w:val="32"/>
          <w:szCs w:val="32"/>
          <w:lang w:val="en-US" w:eastAsia="zh-CN"/>
        </w:rPr>
        <w:t xml:space="preserve">        （九）已享受我市引进高层次人才购房</w:t>
      </w:r>
      <w:r>
        <w:rPr>
          <w:rFonts w:hint="default" w:ascii="Times New Roman" w:hAnsi="Times New Roman" w:eastAsia="仿宋_GB2312" w:cs="Times New Roman"/>
          <w:sz w:val="32"/>
          <w:szCs w:val="32"/>
          <w:lang w:val="en-US" w:eastAsia="zh-CN"/>
        </w:rPr>
        <w:t>补贴政策的，不再享受购房补贴政策。</w:t>
      </w:r>
    </w:p>
    <w:p>
      <w:pPr>
        <w:keepNext w:val="0"/>
        <w:keepLines w:val="0"/>
        <w:pageBreakBefore w:val="0"/>
        <w:widowControl/>
        <w:kinsoku/>
        <w:wordWrap/>
        <w:overflowPunct/>
        <w:topLinePunct w:val="0"/>
        <w:autoSpaceDE/>
        <w:autoSpaceDN/>
        <w:bidi w:val="0"/>
        <w:spacing w:after="0" w:line="560" w:lineRule="exact"/>
        <w:ind w:left="0" w:firstLine="640" w:firstLineChars="200"/>
        <w:textAlignment w:val="auto"/>
        <w:rPr>
          <w:rFonts w:hint="default" w:ascii="黑体" w:hAnsi="黑体" w:eastAsia="黑体" w:cs="黑体"/>
          <w:sz w:val="32"/>
          <w:szCs w:val="32"/>
          <w:lang w:val="en-US" w:eastAsia="zh-CN"/>
        </w:rPr>
      </w:pPr>
      <w:r>
        <w:rPr>
          <w:rFonts w:hint="default" w:ascii="黑体" w:hAnsi="黑体" w:eastAsia="黑体" w:cs="黑体"/>
          <w:sz w:val="32"/>
          <w:szCs w:val="32"/>
          <w:lang w:val="en-US" w:eastAsia="zh-CN"/>
        </w:rPr>
        <w:t>六、提高公积金贷款额度</w:t>
      </w:r>
    </w:p>
    <w:p>
      <w:pPr>
        <w:keepNext w:val="0"/>
        <w:keepLines w:val="0"/>
        <w:pageBreakBefore w:val="0"/>
        <w:widowControl/>
        <w:kinsoku/>
        <w:wordWrap/>
        <w:overflowPunct/>
        <w:topLinePunct w:val="0"/>
        <w:autoSpaceDE/>
        <w:autoSpaceDN/>
        <w:bidi w:val="0"/>
        <w:spacing w:after="0" w:line="560" w:lineRule="exact"/>
        <w:ind w:lef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（十）</w:t>
      </w:r>
      <w:r>
        <w:rPr>
          <w:rFonts w:hint="eastAsia" w:ascii="华文仿宋" w:hAnsi="华文仿宋" w:eastAsia="仿宋_GB2312" w:cs="华文仿宋"/>
          <w:sz w:val="32"/>
          <w:szCs w:val="32"/>
          <w:lang w:val="en-US" w:eastAsia="zh-CN"/>
        </w:rPr>
        <w:t>提高公积金贷款额度，将公积金贷款金额由45万元提高至50万元。已</w:t>
      </w:r>
      <w:r>
        <w:rPr>
          <w:rFonts w:hint="default" w:ascii="Times New Roman" w:hAnsi="Times New Roman" w:eastAsia="仿宋_GB2312" w:cs="Times New Roman"/>
          <w:sz w:val="32"/>
          <w:szCs w:val="32"/>
          <w:lang w:val="en-US" w:eastAsia="zh-CN"/>
        </w:rPr>
        <w:t>还清贷款再次利用公积金贷款购买商品住房、夫妻双方均缴纳公积金贷款购房、市引进的高层次人才利用公积金贷款购买商品住房的，</w:t>
      </w:r>
      <w:r>
        <w:rPr>
          <w:rFonts w:hint="eastAsia" w:ascii="华文仿宋" w:hAnsi="华文仿宋" w:eastAsia="仿宋_GB2312" w:cs="华文仿宋"/>
          <w:sz w:val="32"/>
          <w:szCs w:val="32"/>
          <w:lang w:val="en-US" w:eastAsia="zh-CN"/>
        </w:rPr>
        <w:t>公积金贷款额度提高至60</w:t>
      </w:r>
      <w:r>
        <w:rPr>
          <w:rFonts w:hint="default" w:ascii="Times New Roman" w:hAnsi="Times New Roman" w:eastAsia="仿宋_GB2312" w:cs="Times New Roman"/>
          <w:sz w:val="32"/>
          <w:szCs w:val="32"/>
          <w:lang w:val="en-US" w:eastAsia="zh-CN"/>
        </w:rPr>
        <w:t>万元。</w:t>
      </w:r>
    </w:p>
    <w:p>
      <w:pPr>
        <w:keepNext w:val="0"/>
        <w:keepLines w:val="0"/>
        <w:pageBreakBefore w:val="0"/>
        <w:widowControl/>
        <w:kinsoku/>
        <w:wordWrap/>
        <w:overflowPunct/>
        <w:topLinePunct w:val="0"/>
        <w:autoSpaceDE/>
        <w:autoSpaceDN/>
        <w:bidi w:val="0"/>
        <w:spacing w:after="0" w:line="560" w:lineRule="exact"/>
        <w:ind w:left="0" w:firstLine="640" w:firstLineChars="200"/>
        <w:textAlignment w:val="auto"/>
        <w:rPr>
          <w:rFonts w:hint="default" w:ascii="黑体" w:hAnsi="黑体" w:eastAsia="黑体" w:cs="黑体"/>
          <w:sz w:val="32"/>
          <w:szCs w:val="32"/>
          <w:lang w:val="en-US" w:eastAsia="zh-CN"/>
        </w:rPr>
      </w:pPr>
      <w:r>
        <w:rPr>
          <w:rFonts w:hint="default" w:ascii="黑体" w:hAnsi="黑体" w:eastAsia="黑体" w:cs="黑体"/>
          <w:sz w:val="32"/>
          <w:szCs w:val="32"/>
          <w:lang w:val="en-US" w:eastAsia="zh-CN"/>
        </w:rPr>
        <w:t>七、推行征迁安置房票制</w:t>
      </w:r>
    </w:p>
    <w:p>
      <w:pPr>
        <w:keepNext w:val="0"/>
        <w:keepLines w:val="0"/>
        <w:pageBreakBefore w:val="0"/>
        <w:widowControl/>
        <w:kinsoku/>
        <w:wordWrap/>
        <w:overflowPunct/>
        <w:topLinePunct w:val="0"/>
        <w:autoSpaceDE/>
        <w:autoSpaceDN/>
        <w:bidi w:val="0"/>
        <w:spacing w:after="0" w:line="560" w:lineRule="exact"/>
        <w:ind w:left="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    （十一）</w:t>
      </w:r>
      <w:r>
        <w:rPr>
          <w:rFonts w:hint="eastAsia" w:ascii="Times New Roman" w:hAnsi="Times New Roman" w:eastAsia="仿宋_GB2312" w:cs="Times New Roman"/>
          <w:sz w:val="32"/>
          <w:szCs w:val="32"/>
          <w:lang w:val="en-US" w:eastAsia="zh-CN"/>
        </w:rPr>
        <w:t>对中心城区新征迁安置项目，在充分征求被征迁群众意愿的基础上，积极引导群众选择房票安置。对本意见下发前没有安置到位的，也可以根据群众意愿，实行房票安置。</w:t>
      </w:r>
    </w:p>
    <w:p>
      <w:pPr>
        <w:keepNext w:val="0"/>
        <w:keepLines w:val="0"/>
        <w:pageBreakBefore w:val="0"/>
        <w:widowControl/>
        <w:kinsoku/>
        <w:wordWrap/>
        <w:overflowPunct/>
        <w:topLinePunct w:val="0"/>
        <w:autoSpaceDE/>
        <w:autoSpaceDN/>
        <w:bidi w:val="0"/>
        <w:spacing w:after="0" w:line="560" w:lineRule="exact"/>
        <w:ind w:firstLine="640" w:firstLineChars="200"/>
        <w:textAlignment w:val="auto"/>
        <w:rPr>
          <w:rFonts w:hint="default" w:ascii="黑体" w:hAnsi="黑体" w:eastAsia="黑体" w:cs="黑体"/>
          <w:sz w:val="32"/>
          <w:szCs w:val="32"/>
          <w:lang w:val="en-US" w:eastAsia="zh-CN"/>
        </w:rPr>
      </w:pPr>
      <w:r>
        <w:rPr>
          <w:rFonts w:hint="default" w:ascii="黑体" w:hAnsi="黑体" w:eastAsia="黑体" w:cs="黑体"/>
          <w:sz w:val="32"/>
          <w:szCs w:val="32"/>
          <w:lang w:val="en-US" w:eastAsia="zh-CN"/>
        </w:rPr>
        <w:t>八、对购买公寓、写字楼实行契税补贴</w:t>
      </w:r>
    </w:p>
    <w:p>
      <w:pPr>
        <w:keepNext w:val="0"/>
        <w:keepLines w:val="0"/>
        <w:pageBreakBefore w:val="0"/>
        <w:widowControl/>
        <w:kinsoku/>
        <w:wordWrap/>
        <w:overflowPunct/>
        <w:topLinePunct w:val="0"/>
        <w:autoSpaceDE/>
        <w:autoSpaceDN/>
        <w:bidi w:val="0"/>
        <w:spacing w:after="0" w:line="560" w:lineRule="exact"/>
        <w:ind w:left="0"/>
        <w:jc w:val="both"/>
        <w:textAlignment w:val="auto"/>
        <w:rPr>
          <w:rFonts w:hint="eastAsia" w:ascii="华文仿宋" w:hAnsi="华文仿宋" w:eastAsia="仿宋_GB2312" w:cs="华文仿宋"/>
          <w:sz w:val="32"/>
          <w:szCs w:val="32"/>
          <w:lang w:val="en-US" w:eastAsia="zh-CN"/>
        </w:rPr>
      </w:pPr>
      <w:r>
        <w:rPr>
          <w:rFonts w:hint="default" w:ascii="Times New Roman" w:hAnsi="Times New Roman" w:eastAsia="仿宋_GB2312" w:cs="Times New Roman"/>
          <w:sz w:val="32"/>
          <w:szCs w:val="32"/>
          <w:lang w:val="en-US" w:eastAsia="zh-CN"/>
        </w:rPr>
        <w:t xml:space="preserve">      </w:t>
      </w:r>
      <w:r>
        <w:rPr>
          <w:rFonts w:hint="eastAsia" w:ascii="华文仿宋" w:hAnsi="华文仿宋" w:eastAsia="仿宋_GB2312" w:cs="华文仿宋"/>
          <w:sz w:val="32"/>
          <w:szCs w:val="32"/>
          <w:lang w:val="en-US" w:eastAsia="zh-CN"/>
        </w:rPr>
        <w:t>（十二）对在2022年3月1日至12月31日购买公寓、写字楼（不含商铺）的，按照实际缴纳税款的50%进行奖励。</w:t>
      </w:r>
    </w:p>
    <w:p>
      <w:pPr>
        <w:keepNext w:val="0"/>
        <w:keepLines w:val="0"/>
        <w:pageBreakBefore w:val="0"/>
        <w:widowControl/>
        <w:kinsoku/>
        <w:wordWrap/>
        <w:overflowPunct/>
        <w:topLinePunct w:val="0"/>
        <w:autoSpaceDE/>
        <w:autoSpaceDN/>
        <w:bidi w:val="0"/>
        <w:spacing w:after="0" w:line="560" w:lineRule="exact"/>
        <w:ind w:left="0" w:firstLine="640" w:firstLineChars="200"/>
        <w:textAlignment w:val="auto"/>
        <w:rPr>
          <w:rFonts w:hint="default" w:ascii="Times New Roman" w:hAnsi="Times New Roman" w:eastAsia="方正黑体_GBK" w:cs="Times New Roman"/>
          <w:sz w:val="32"/>
          <w:szCs w:val="32"/>
          <w:lang w:val="en-US" w:eastAsia="zh-CN"/>
        </w:rPr>
      </w:pPr>
      <w:bookmarkStart w:id="0" w:name="_GoBack"/>
      <w:bookmarkEnd w:id="0"/>
      <w:r>
        <w:rPr>
          <w:rFonts w:hint="default" w:ascii="黑体" w:hAnsi="黑体" w:eastAsia="黑体" w:cs="黑体"/>
          <w:sz w:val="32"/>
          <w:szCs w:val="32"/>
          <w:lang w:val="en-US" w:eastAsia="zh-CN"/>
        </w:rPr>
        <w:t>九、提高服务企业效能</w:t>
      </w:r>
    </w:p>
    <w:p>
      <w:pPr>
        <w:keepNext w:val="0"/>
        <w:keepLines w:val="0"/>
        <w:pageBreakBefore w:val="0"/>
        <w:widowControl/>
        <w:kinsoku/>
        <w:wordWrap/>
        <w:overflowPunct/>
        <w:topLinePunct w:val="0"/>
        <w:autoSpaceDE/>
        <w:autoSpaceDN/>
        <w:bidi w:val="0"/>
        <w:spacing w:after="0" w:line="560" w:lineRule="exact"/>
        <w:ind w:lef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（十三）</w:t>
      </w:r>
      <w:r>
        <w:rPr>
          <w:rFonts w:hint="eastAsia" w:ascii="华文仿宋" w:hAnsi="华文仿宋" w:eastAsia="仿宋_GB2312" w:cs="华文仿宋"/>
          <w:sz w:val="32"/>
          <w:szCs w:val="32"/>
          <w:lang w:val="en-US" w:eastAsia="zh-CN"/>
        </w:rPr>
        <w:t>优化房地产项目审批流程，推行不见面审批及线上办理，房地产项目全流程审批时间控制在37天</w:t>
      </w:r>
      <w:r>
        <w:rPr>
          <w:rFonts w:hint="default" w:ascii="Times New Roman" w:hAnsi="Times New Roman" w:eastAsia="仿宋_GB2312" w:cs="Times New Roman"/>
          <w:sz w:val="32"/>
          <w:szCs w:val="32"/>
          <w:lang w:val="en-US" w:eastAsia="zh-CN"/>
        </w:rPr>
        <w:t>以内。积极探索工程建设项目实行</w:t>
      </w:r>
      <w:r>
        <w:rPr>
          <w:rFonts w:hint="eastAsia" w:ascii="华文仿宋" w:hAnsi="华文仿宋" w:eastAsia="仿宋_GB2312" w:cs="华文仿宋"/>
          <w:sz w:val="32"/>
          <w:szCs w:val="32"/>
          <w:lang w:val="en-US" w:eastAsia="zh-CN"/>
        </w:rPr>
        <w:t>“多测合一”，</w:t>
      </w:r>
      <w:r>
        <w:rPr>
          <w:rFonts w:hint="default" w:ascii="Times New Roman" w:hAnsi="Times New Roman" w:eastAsia="仿宋_GB2312" w:cs="Times New Roman"/>
          <w:sz w:val="32"/>
          <w:szCs w:val="32"/>
          <w:lang w:val="en-US" w:eastAsia="zh-CN"/>
        </w:rPr>
        <w:t>整合自然资源规划、住建、人防等部门测绘项目，规范测绘标准，开展联合测绘，实现测绘成果共享。</w:t>
      </w:r>
    </w:p>
    <w:p>
      <w:pPr>
        <w:keepNext w:val="0"/>
        <w:keepLines w:val="0"/>
        <w:pageBreakBefore w:val="0"/>
        <w:widowControl/>
        <w:kinsoku/>
        <w:wordWrap/>
        <w:overflowPunct/>
        <w:topLinePunct w:val="0"/>
        <w:autoSpaceDE/>
        <w:autoSpaceDN/>
        <w:bidi w:val="0"/>
        <w:spacing w:after="0" w:line="560" w:lineRule="exact"/>
        <w:ind w:left="0" w:firstLine="640" w:firstLineChars="200"/>
        <w:textAlignment w:val="auto"/>
        <w:rPr>
          <w:rFonts w:hint="default" w:ascii="黑体" w:hAnsi="黑体" w:eastAsia="黑体" w:cs="黑体"/>
          <w:sz w:val="32"/>
          <w:szCs w:val="32"/>
          <w:lang w:val="zh-CN"/>
        </w:rPr>
      </w:pPr>
      <w:r>
        <w:rPr>
          <w:rFonts w:hint="default" w:ascii="黑体" w:hAnsi="黑体" w:eastAsia="黑体" w:cs="黑体"/>
          <w:sz w:val="32"/>
          <w:szCs w:val="32"/>
          <w:lang w:val="zh-CN"/>
        </w:rPr>
        <w:t>十、加强房地产市场监测预警</w:t>
      </w:r>
    </w:p>
    <w:p>
      <w:pPr>
        <w:keepNext w:val="0"/>
        <w:keepLines w:val="0"/>
        <w:pageBreakBefore w:val="0"/>
        <w:widowControl/>
        <w:kinsoku/>
        <w:wordWrap/>
        <w:overflowPunct/>
        <w:topLinePunct w:val="0"/>
        <w:autoSpaceDE/>
        <w:autoSpaceDN/>
        <w:bidi w:val="0"/>
        <w:spacing w:after="0" w:line="560" w:lineRule="exact"/>
        <w:ind w:left="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      （十四）建立房地产市场监测预警机制，加强分析研判，对出现的问题及时研究对策措施。对列入省问题楼盘台账的项目设立银行专用专户，确保资金安全、专款专用。对在建设过程中出现风险的项目，加强预售资金监管，积极与税务和银行业金融机构对接，将企业留抵退税款、银行保证金退还到项目资金监管账户，增加项目建设资金来源，防范化解项目风险。</w:t>
      </w:r>
    </w:p>
    <w:p>
      <w:pPr>
        <w:keepNext w:val="0"/>
        <w:keepLines w:val="0"/>
        <w:pageBreakBefore w:val="0"/>
        <w:widowControl/>
        <w:kinsoku/>
        <w:wordWrap/>
        <w:overflowPunct/>
        <w:topLinePunct w:val="0"/>
        <w:autoSpaceDE/>
        <w:autoSpaceDN/>
        <w:bidi w:val="0"/>
        <w:spacing w:after="0" w:line="560" w:lineRule="exact"/>
        <w:ind w:left="0"/>
        <w:textAlignment w:val="auto"/>
        <w:rPr>
          <w:rFonts w:hint="default" w:ascii="Times New Roman" w:hAnsi="Times New Roman" w:eastAsia="仿宋_GB2312" w:cs="Times New Roman"/>
          <w:sz w:val="32"/>
          <w:szCs w:val="32"/>
          <w:lang w:val="en-US" w:eastAsia="zh-CN"/>
        </w:rPr>
      </w:pPr>
    </w:p>
    <w:p>
      <w:pPr>
        <w:keepNext w:val="0"/>
        <w:keepLines w:val="0"/>
        <w:pageBreakBefore w:val="0"/>
        <w:widowControl/>
        <w:kinsoku/>
        <w:wordWrap/>
        <w:overflowPunct/>
        <w:topLinePunct w:val="0"/>
        <w:autoSpaceDE/>
        <w:autoSpaceDN/>
        <w:bidi w:val="0"/>
        <w:spacing w:after="0" w:line="560" w:lineRule="exact"/>
        <w:ind w:left="0"/>
        <w:textAlignment w:val="auto"/>
        <w:rPr>
          <w:rFonts w:hint="default" w:ascii="Times New Roman" w:hAnsi="Times New Roman" w:eastAsia="仿宋_GB2312" w:cs="Times New Roman"/>
          <w:sz w:val="32"/>
          <w:szCs w:val="32"/>
        </w:rPr>
      </w:pPr>
    </w:p>
    <w:sectPr>
      <w:footerReference r:id="rId3" w:type="default"/>
      <w:pgSz w:w="11906" w:h="16838"/>
      <w:pgMar w:top="2098" w:right="1474" w:bottom="1984" w:left="1587" w:header="708" w:footer="709" w:gutter="0"/>
      <w:pgNumType w:fmt="numberInDash"/>
      <w:cols w:space="0" w:num="1"/>
      <w:rtlGutter w:val="0"/>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Tahoma">
    <w:panose1 w:val="020B0604030504040204"/>
    <w:charset w:val="00"/>
    <w:family w:val="swiss"/>
    <w:pitch w:val="default"/>
    <w:sig w:usb0="E1002EFF" w:usb1="C000605B" w:usb2="00000029" w:usb3="00000000" w:csb0="200101FF" w:csb1="20280000"/>
  </w:font>
  <w:font w:name="微软雅黑">
    <w:panose1 w:val="020B0503020204020204"/>
    <w:charset w:val="86"/>
    <w:family w:val="swiss"/>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方正仿宋_GBK">
    <w:panose1 w:val="02000000000000000000"/>
    <w:charset w:val="86"/>
    <w:family w:val="auto"/>
    <w:pitch w:val="default"/>
    <w:sig w:usb0="A00002BF" w:usb1="38CF7CFA" w:usb2="00082016" w:usb3="00000000" w:csb0="00040001" w:csb1="00000000"/>
  </w:font>
  <w:font w:name="华文仿宋">
    <w:panose1 w:val="02010600040101010101"/>
    <w:charset w:val="86"/>
    <w:family w:val="auto"/>
    <w:pitch w:val="default"/>
    <w:sig w:usb0="00000287" w:usb1="080F0000" w:usb2="00000000" w:usb3="00000000" w:csb0="0004009F" w:csb1="DFD70000"/>
  </w:font>
  <w:font w:name="方正黑体_GBK">
    <w:altName w:val="微软雅黑"/>
    <w:panose1 w:val="02000000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8"/>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p>
                      </w:txbxContent>
                    </wps:txbx>
                    <wps:bodyPr wrap="none" lIns="0" tIns="0" rIns="0" bIns="0" upright="0">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">
              <v:fill on="f" focussize="0,0"/>
              <v:stroke on="f"/>
              <v:imagedata o:title=""/>
              <o:lock v:ext="edit" aspectratio="f"/>
              <v:textbox inset="0mm,0mm,0mm,0mm" style="mso-fit-shape-to-text:t;">
                <w:txbxContent>
                  <w:p>
                    <w:pPr>
                      <w:pStyle w:val="8"/>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00"/>
  <w:bordersDoNotSurroundHeader w:val="1"/>
  <w:bordersDoNotSurroundFooter w:val="1"/>
  <w:documentProtection w:enforcement="0"/>
  <w:defaultTabStop w:val="720"/>
  <w:displayHorizontalDrawingGridEvery w:val="0"/>
  <w:displayVerticalDrawingGridEvery w:val="2"/>
  <w:characterSpacingControl w:val="doNotCompress"/>
  <w:hdrShapeDefaults>
    <o:shapelayout v:ext="edit">
      <o:idmap v:ext="edit" data="3,4"/>
    </o:shapelayout>
  </w:hdrShapeDefaults>
  <w:compat>
    <w:balanceSingleByteDoubleByteWidth/>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Q0NDFkMzg1OTI4ZTZjMjNmZGIxNWViYjEzYjJjNWQifQ=="/>
  </w:docVars>
  <w:rsids>
    <w:rsidRoot w:val="00D31D50"/>
    <w:rsid w:val="00323B43"/>
    <w:rsid w:val="00347CA0"/>
    <w:rsid w:val="003D37D8"/>
    <w:rsid w:val="00417BE1"/>
    <w:rsid w:val="00426133"/>
    <w:rsid w:val="004358AB"/>
    <w:rsid w:val="005520AF"/>
    <w:rsid w:val="00613238"/>
    <w:rsid w:val="008B7726"/>
    <w:rsid w:val="00A50C96"/>
    <w:rsid w:val="00B44518"/>
    <w:rsid w:val="00D31D50"/>
    <w:rsid w:val="0E3F0D1C"/>
    <w:rsid w:val="0F210F62"/>
    <w:rsid w:val="0F3E469D"/>
    <w:rsid w:val="1FD9F662"/>
    <w:rsid w:val="20B70560"/>
    <w:rsid w:val="219EF065"/>
    <w:rsid w:val="26481924"/>
    <w:rsid w:val="29F8C420"/>
    <w:rsid w:val="2E7A3153"/>
    <w:rsid w:val="2EFE8197"/>
    <w:rsid w:val="2FBBFD3D"/>
    <w:rsid w:val="2FEF905A"/>
    <w:rsid w:val="357E53BE"/>
    <w:rsid w:val="35AC4D40"/>
    <w:rsid w:val="36471CC3"/>
    <w:rsid w:val="37BBCA98"/>
    <w:rsid w:val="37DFE8A1"/>
    <w:rsid w:val="37DFF66A"/>
    <w:rsid w:val="39AB4AD6"/>
    <w:rsid w:val="3D6D5974"/>
    <w:rsid w:val="3EBD47ED"/>
    <w:rsid w:val="3EEB5085"/>
    <w:rsid w:val="3F1F1B74"/>
    <w:rsid w:val="3F567737"/>
    <w:rsid w:val="3F67A19B"/>
    <w:rsid w:val="3F6F87EE"/>
    <w:rsid w:val="3F96DED7"/>
    <w:rsid w:val="3FFD3A09"/>
    <w:rsid w:val="3FFF4C3C"/>
    <w:rsid w:val="4ADB62F6"/>
    <w:rsid w:val="4C7CA96E"/>
    <w:rsid w:val="554FAD33"/>
    <w:rsid w:val="57E81DB9"/>
    <w:rsid w:val="57EF3D4F"/>
    <w:rsid w:val="57FF0093"/>
    <w:rsid w:val="5A2D04D2"/>
    <w:rsid w:val="5BCFAAFF"/>
    <w:rsid w:val="5C263983"/>
    <w:rsid w:val="5C2B4D64"/>
    <w:rsid w:val="5D7B86CB"/>
    <w:rsid w:val="5EFF0682"/>
    <w:rsid w:val="5F37886B"/>
    <w:rsid w:val="5FFF2E25"/>
    <w:rsid w:val="63EDA11D"/>
    <w:rsid w:val="63FF8DEA"/>
    <w:rsid w:val="65DA492E"/>
    <w:rsid w:val="65EE8F16"/>
    <w:rsid w:val="66FBA185"/>
    <w:rsid w:val="67F5053B"/>
    <w:rsid w:val="6BBF948E"/>
    <w:rsid w:val="6F2B8D16"/>
    <w:rsid w:val="6F7D0ED9"/>
    <w:rsid w:val="6FFBDFE2"/>
    <w:rsid w:val="71A64128"/>
    <w:rsid w:val="71E9D5C4"/>
    <w:rsid w:val="72E3A611"/>
    <w:rsid w:val="73F384D8"/>
    <w:rsid w:val="775DD313"/>
    <w:rsid w:val="77ACC054"/>
    <w:rsid w:val="77B9E534"/>
    <w:rsid w:val="7976DD53"/>
    <w:rsid w:val="7B7E03D8"/>
    <w:rsid w:val="7BFFB495"/>
    <w:rsid w:val="7C294D9D"/>
    <w:rsid w:val="7C9F4FCB"/>
    <w:rsid w:val="7D3E22E6"/>
    <w:rsid w:val="7DADC29A"/>
    <w:rsid w:val="7DB76981"/>
    <w:rsid w:val="7DEDA676"/>
    <w:rsid w:val="7DFD6CEE"/>
    <w:rsid w:val="7DFFBF97"/>
    <w:rsid w:val="7EBF111B"/>
    <w:rsid w:val="7EEF9D23"/>
    <w:rsid w:val="7EFB8A76"/>
    <w:rsid w:val="7F0B4BB4"/>
    <w:rsid w:val="7F577BF9"/>
    <w:rsid w:val="7F77E635"/>
    <w:rsid w:val="7F77FAA9"/>
    <w:rsid w:val="7F7E9E4D"/>
    <w:rsid w:val="7FB7A97A"/>
    <w:rsid w:val="7FBE273F"/>
    <w:rsid w:val="7FDBCF07"/>
    <w:rsid w:val="7FDF404B"/>
    <w:rsid w:val="7FED7BC5"/>
    <w:rsid w:val="7FEDB9B7"/>
    <w:rsid w:val="8FBB5D55"/>
    <w:rsid w:val="8FD1A6DE"/>
    <w:rsid w:val="977F9A00"/>
    <w:rsid w:val="9DAB981E"/>
    <w:rsid w:val="9FBE0BF5"/>
    <w:rsid w:val="A34BE02C"/>
    <w:rsid w:val="AD7FD58F"/>
    <w:rsid w:val="AEDC694E"/>
    <w:rsid w:val="AF3DB780"/>
    <w:rsid w:val="AF7FA82F"/>
    <w:rsid w:val="AFE59ACB"/>
    <w:rsid w:val="B7AEED09"/>
    <w:rsid w:val="B7FFBAA4"/>
    <w:rsid w:val="BB73FA38"/>
    <w:rsid w:val="BDFE5C51"/>
    <w:rsid w:val="BDFF837B"/>
    <w:rsid w:val="BFBAA769"/>
    <w:rsid w:val="BFFB6B7D"/>
    <w:rsid w:val="BFFE11C2"/>
    <w:rsid w:val="BFFF8C77"/>
    <w:rsid w:val="BFFFA1A7"/>
    <w:rsid w:val="C7FF1D04"/>
    <w:rsid w:val="D5FFFF44"/>
    <w:rsid w:val="D7FBA9DF"/>
    <w:rsid w:val="D7FE0651"/>
    <w:rsid w:val="D8F7C022"/>
    <w:rsid w:val="DBFFBF66"/>
    <w:rsid w:val="DD1E5A77"/>
    <w:rsid w:val="DEAF8136"/>
    <w:rsid w:val="DF8F9A87"/>
    <w:rsid w:val="DFAD4C62"/>
    <w:rsid w:val="EB676AD5"/>
    <w:rsid w:val="EB6F018C"/>
    <w:rsid w:val="ED7FBA79"/>
    <w:rsid w:val="EDFF205D"/>
    <w:rsid w:val="EFABB2E2"/>
    <w:rsid w:val="EFAF3B0F"/>
    <w:rsid w:val="EFFB5363"/>
    <w:rsid w:val="F1FF19F5"/>
    <w:rsid w:val="F3BA07A6"/>
    <w:rsid w:val="F3DB3BA8"/>
    <w:rsid w:val="F567FB71"/>
    <w:rsid w:val="F5BF4E15"/>
    <w:rsid w:val="F67DA15F"/>
    <w:rsid w:val="F86B542B"/>
    <w:rsid w:val="F8E40E92"/>
    <w:rsid w:val="F9FFCD80"/>
    <w:rsid w:val="FBB55BE8"/>
    <w:rsid w:val="FBBF472A"/>
    <w:rsid w:val="FBD52B82"/>
    <w:rsid w:val="FBE9467A"/>
    <w:rsid w:val="FCDFF845"/>
    <w:rsid w:val="FD7F6BC5"/>
    <w:rsid w:val="FDBACD14"/>
    <w:rsid w:val="FDF63C0A"/>
    <w:rsid w:val="FE7FAC95"/>
    <w:rsid w:val="FEBB4BE1"/>
    <w:rsid w:val="FEBB5AA4"/>
    <w:rsid w:val="FECF8998"/>
    <w:rsid w:val="FEFFFD20"/>
    <w:rsid w:val="FF7F6094"/>
    <w:rsid w:val="FFC7CC1C"/>
    <w:rsid w:val="FFF00584"/>
    <w:rsid w:val="FFF5AC22"/>
    <w:rsid w:val="FFF64467"/>
    <w:rsid w:val="FFF75934"/>
    <w:rsid w:val="FFF7C5BE"/>
    <w:rsid w:val="FFFAD2D8"/>
    <w:rsid w:val="FFFF6CF5"/>
    <w:rsid w:val="FFFFDB8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semiHidden="0"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1"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qFormat="1" w:unhideWhenUsed="0" w:uiPriority="0"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adjustRightInd w:val="0"/>
      <w:snapToGrid w:val="0"/>
      <w:spacing w:after="200" w:line="240" w:lineRule="auto"/>
    </w:pPr>
    <w:rPr>
      <w:rFonts w:ascii="Tahoma" w:hAnsi="Tahoma" w:eastAsia="微软雅黑" w:cstheme="minorBidi"/>
      <w:sz w:val="22"/>
      <w:szCs w:val="22"/>
      <w:lang w:val="en-US" w:eastAsia="zh-CN" w:bidi="ar-SA"/>
    </w:rPr>
  </w:style>
  <w:style w:type="character" w:default="1" w:styleId="12">
    <w:name w:val="Default Paragraph Font"/>
    <w:semiHidden/>
    <w:unhideWhenUsed/>
    <w:qFormat/>
    <w:uiPriority w:val="1"/>
  </w:style>
  <w:style w:type="table" w:default="1" w:styleId="11">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Times New Roman" w:hAnsi="Times New Roman" w:cs="Times New Roman"/>
      <w:sz w:val="20"/>
      <w:szCs w:val="20"/>
    </w:rPr>
    <w:tblPr>
      <w:tblCellMar>
        <w:top w:w="0" w:type="dxa"/>
        <w:left w:w="108" w:type="dxa"/>
        <w:bottom w:w="0" w:type="dxa"/>
        <w:right w:w="108" w:type="dxa"/>
      </w:tblCellMar>
    </w:tblPr>
  </w:style>
  <w:style w:type="paragraph" w:customStyle="1" w:styleId="2">
    <w:name w:val="Body Text First Indent"/>
    <w:basedOn w:val="3"/>
    <w:next w:val="1"/>
    <w:qFormat/>
    <w:uiPriority w:val="0"/>
    <w:pPr>
      <w:ind w:firstLine="420" w:firstLineChars="100"/>
    </w:pPr>
  </w:style>
  <w:style w:type="paragraph" w:styleId="3">
    <w:name w:val="Body Text"/>
    <w:basedOn w:val="1"/>
    <w:next w:val="4"/>
    <w:qFormat/>
    <w:uiPriority w:val="1"/>
    <w:pPr>
      <w:ind w:left="111"/>
    </w:pPr>
    <w:rPr>
      <w:sz w:val="32"/>
      <w:szCs w:val="32"/>
    </w:rPr>
  </w:style>
  <w:style w:type="paragraph" w:customStyle="1" w:styleId="4">
    <w:name w:val="Body Text 2"/>
    <w:basedOn w:val="1"/>
    <w:qFormat/>
    <w:uiPriority w:val="0"/>
    <w:pPr>
      <w:spacing w:after="120" w:line="480" w:lineRule="auto"/>
    </w:pPr>
    <w:rPr>
      <w:rFonts w:hint="default"/>
    </w:rPr>
  </w:style>
  <w:style w:type="paragraph" w:styleId="5">
    <w:name w:val="annotation text"/>
    <w:basedOn w:val="1"/>
    <w:unhideWhenUsed/>
    <w:qFormat/>
    <w:uiPriority w:val="99"/>
    <w:pPr>
      <w:jc w:val="left"/>
    </w:pPr>
  </w:style>
  <w:style w:type="paragraph" w:styleId="6">
    <w:name w:val="Plain Text"/>
    <w:qFormat/>
    <w:uiPriority w:val="0"/>
    <w:pPr>
      <w:ind w:firstLine="880" w:firstLineChars="200"/>
      <w:jc w:val="both"/>
    </w:pPr>
    <w:rPr>
      <w:rFonts w:ascii="宋体" w:hAnsi="Courier New" w:eastAsia="仿宋" w:cs="Times New Roman"/>
      <w:kern w:val="2"/>
      <w:sz w:val="32"/>
      <w:lang w:val="en-US" w:eastAsia="zh-CN" w:bidi="ar-SA"/>
    </w:rPr>
  </w:style>
  <w:style w:type="paragraph" w:styleId="7">
    <w:name w:val="Date"/>
    <w:basedOn w:val="1"/>
    <w:next w:val="1"/>
    <w:link w:val="15"/>
    <w:semiHidden/>
    <w:unhideWhenUsed/>
    <w:qFormat/>
    <w:uiPriority w:val="99"/>
    <w:pPr>
      <w:ind w:left="100" w:leftChars="2500"/>
    </w:pPr>
  </w:style>
  <w:style w:type="paragraph" w:styleId="8">
    <w:name w:val="footer"/>
    <w:basedOn w:val="1"/>
    <w:semiHidden/>
    <w:unhideWhenUsed/>
    <w:qFormat/>
    <w:uiPriority w:val="99"/>
    <w:pPr>
      <w:tabs>
        <w:tab w:val="center" w:pos="4153"/>
        <w:tab w:val="right" w:pos="8306"/>
      </w:tabs>
      <w:snapToGrid w:val="0"/>
      <w:jc w:val="left"/>
    </w:pPr>
    <w:rPr>
      <w:sz w:val="18"/>
    </w:rPr>
  </w:style>
  <w:style w:type="paragraph" w:styleId="9">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0">
    <w:name w:val="Normal (Web)"/>
    <w:basedOn w:val="1"/>
    <w:qFormat/>
    <w:uiPriority w:val="0"/>
    <w:pPr>
      <w:widowControl/>
      <w:spacing w:before="100" w:beforeAutospacing="1" w:after="100" w:afterAutospacing="1"/>
      <w:jc w:val="left"/>
    </w:pPr>
    <w:rPr>
      <w:rFonts w:ascii="宋体" w:hAnsi="宋体" w:cs="宋体"/>
      <w:kern w:val="0"/>
      <w:sz w:val="24"/>
    </w:rPr>
  </w:style>
  <w:style w:type="character" w:styleId="13">
    <w:name w:val="page number"/>
    <w:basedOn w:val="12"/>
    <w:qFormat/>
    <w:uiPriority w:val="0"/>
    <w:rPr>
      <w:rFonts w:ascii="Times New Roman" w:hAnsi="Times New Roman" w:eastAsia="宋体" w:cs="Times New Roman"/>
    </w:rPr>
  </w:style>
  <w:style w:type="paragraph" w:customStyle="1" w:styleId="14">
    <w:name w:val="Body Text First Indent1"/>
    <w:basedOn w:val="3"/>
    <w:next w:val="1"/>
    <w:qFormat/>
    <w:uiPriority w:val="0"/>
    <w:pPr>
      <w:ind w:firstLine="420" w:firstLineChars="100"/>
    </w:pPr>
  </w:style>
  <w:style w:type="character" w:customStyle="1" w:styleId="15">
    <w:name w:val="日期 Char"/>
    <w:basedOn w:val="12"/>
    <w:link w:val="7"/>
    <w:semiHidden/>
    <w:qFormat/>
    <w:uiPriority w:val="99"/>
    <w:rPr>
      <w:rFonts w:ascii="Tahoma" w:hAnsi="Tahoma"/>
    </w:rPr>
  </w:style>
  <w:style w:type="paragraph" w:customStyle="1" w:styleId="16">
    <w:name w:val="Default"/>
    <w:qFormat/>
    <w:uiPriority w:val="0"/>
    <w:pPr>
      <w:widowControl w:val="0"/>
      <w:autoSpaceDE w:val="0"/>
      <w:autoSpaceDN w:val="0"/>
      <w:adjustRightInd w:val="0"/>
    </w:pPr>
    <w:rPr>
      <w:rFonts w:hint="eastAsia" w:ascii="仿宋_GB2312" w:hAnsi="Times New Roman" w:eastAsia="仿宋_GB2312" w:cs="Times New Roman"/>
      <w:color w:val="000000"/>
      <w:sz w:val="24"/>
      <w:szCs w:val="22"/>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2060</Words>
  <Characters>2093</Characters>
  <Lines>1</Lines>
  <Paragraphs>1</Paragraphs>
  <TotalTime>876</TotalTime>
  <ScaleCrop>false</ScaleCrop>
  <LinksUpToDate>false</LinksUpToDate>
  <CharactersWithSpaces>2130</CharactersWithSpaces>
  <Application>WPS Office_11.1.0.9914_F1E327BC-269C-435d-A152-05C5408002CA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2008-09-19T09:20:00Z</dcterms:created>
  <dc:creator>user</dc:creator>
  <cp:lastModifiedBy>360k</cp:lastModifiedBy>
  <cp:lastPrinted>2022-07-23T10:09:00Z</cp:lastPrinted>
  <dcterms:modified xsi:type="dcterms:W3CDTF">2022-11-10T10:55:15Z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2052-11.1.0.9914</vt:lpwstr>
  </property>
  <property fmtid="{D5CDD505-2E9C-101B-9397-08002B2CF9AE}" pid="3" name="commondata">
    <vt:lpwstr>eyJoZGlkIjoiMmQ0NDFkMzg1OTI4ZTZjMjNmZGIxNWViYjEzYjJjNWQifQ==</vt:lpwstr>
  </property>
  <property fmtid="{D5CDD505-2E9C-101B-9397-08002B2CF9AE}" pid="4" name="ICV">
    <vt:lpwstr>47CFD7EE42764EE8AC9EBD96176D9D44</vt:lpwstr>
  </property>
</Properties>
</file>