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40" w:lineRule="exact"/>
        <w:rPr>
          <w:rFonts w:ascii="黑体" w:hAnsi="黑体" w:eastAsia="黑体" w:cs="黑体"/>
          <w:sz w:val="32"/>
          <w:szCs w:val="32"/>
        </w:rPr>
      </w:pPr>
      <w:r>
        <w:rPr>
          <w:rFonts w:hint="eastAsia" w:ascii="黑体" w:hAnsi="黑体" w:eastAsia="黑体" w:cs="黑体"/>
          <w:sz w:val="32"/>
          <w:szCs w:val="32"/>
        </w:rPr>
        <w:t>附件5</w:t>
      </w:r>
    </w:p>
    <w:tbl>
      <w:tblPr>
        <w:tblStyle w:val="3"/>
        <w:tblW w:w="15432" w:type="dxa"/>
        <w:tblInd w:w="143" w:type="dxa"/>
        <w:tblLayout w:type="fixed"/>
        <w:tblCellMar>
          <w:top w:w="0" w:type="dxa"/>
          <w:left w:w="108" w:type="dxa"/>
          <w:bottom w:w="0" w:type="dxa"/>
          <w:right w:w="108" w:type="dxa"/>
        </w:tblCellMar>
      </w:tblPr>
      <w:tblGrid>
        <w:gridCol w:w="477"/>
        <w:gridCol w:w="1320"/>
        <w:gridCol w:w="1320"/>
        <w:gridCol w:w="1320"/>
        <w:gridCol w:w="1320"/>
        <w:gridCol w:w="1320"/>
        <w:gridCol w:w="2400"/>
        <w:gridCol w:w="1676"/>
        <w:gridCol w:w="1965"/>
        <w:gridCol w:w="826"/>
        <w:gridCol w:w="57"/>
        <w:gridCol w:w="1431"/>
      </w:tblGrid>
      <w:tr>
        <w:tblPrEx>
          <w:tblCellMar>
            <w:top w:w="0" w:type="dxa"/>
            <w:left w:w="108" w:type="dxa"/>
            <w:bottom w:w="0" w:type="dxa"/>
            <w:right w:w="108" w:type="dxa"/>
          </w:tblCellMar>
        </w:tblPrEx>
        <w:trPr>
          <w:gridAfter w:val="1"/>
          <w:wAfter w:w="1431" w:type="dxa"/>
          <w:trHeight w:val="660" w:hRule="atLeast"/>
        </w:trPr>
        <w:tc>
          <w:tcPr>
            <w:tcW w:w="14001" w:type="dxa"/>
            <w:gridSpan w:val="11"/>
            <w:tcBorders>
              <w:top w:val="nil"/>
              <w:left w:val="nil"/>
              <w:bottom w:val="nil"/>
              <w:right w:val="nil"/>
            </w:tcBorders>
            <w:vAlign w:val="center"/>
          </w:tcPr>
          <w:p>
            <w:pPr>
              <w:widowControl/>
              <w:spacing w:line="540" w:lineRule="exact"/>
              <w:jc w:val="center"/>
              <w:rPr>
                <w:rFonts w:ascii="Calibri" w:hAnsi="Calibri" w:eastAsia="宋体" w:cs="Times New Roman"/>
              </w:rPr>
            </w:pPr>
            <w:r>
              <w:rPr>
                <w:rFonts w:hint="eastAsia" w:ascii="方正小标宋简体" w:hAnsi="方正小标宋简体" w:eastAsia="方正小标宋简体" w:cs="方正小标宋简体"/>
                <w:sz w:val="44"/>
                <w:szCs w:val="44"/>
              </w:rPr>
              <w:t>周口市住房和城乡建设局权责清单动态调整意见表</w:t>
            </w:r>
          </w:p>
        </w:tc>
      </w:tr>
      <w:tr>
        <w:tblPrEx>
          <w:tblCellMar>
            <w:top w:w="0" w:type="dxa"/>
            <w:left w:w="108" w:type="dxa"/>
            <w:bottom w:w="0" w:type="dxa"/>
            <w:right w:w="108" w:type="dxa"/>
          </w:tblCellMar>
        </w:tblPrEx>
        <w:trPr>
          <w:gridAfter w:val="1"/>
          <w:wAfter w:w="1431" w:type="dxa"/>
          <w:trHeight w:val="525" w:hRule="atLeast"/>
        </w:trPr>
        <w:tc>
          <w:tcPr>
            <w:tcW w:w="14001" w:type="dxa"/>
            <w:gridSpan w:val="11"/>
            <w:tcBorders>
              <w:top w:val="nil"/>
              <w:left w:val="nil"/>
              <w:bottom w:val="single" w:color="auto" w:sz="4" w:space="0"/>
              <w:right w:val="nil"/>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申请单位（公章）：                                                                                   填报时间：2017年 3月 23日</w:t>
            </w:r>
          </w:p>
        </w:tc>
      </w:tr>
      <w:tr>
        <w:tblPrEx>
          <w:tblCellMar>
            <w:top w:w="0" w:type="dxa"/>
            <w:left w:w="108" w:type="dxa"/>
            <w:bottom w:w="0" w:type="dxa"/>
            <w:right w:w="108" w:type="dxa"/>
          </w:tblCellMar>
        </w:tblPrEx>
        <w:trPr>
          <w:gridAfter w:val="1"/>
          <w:wAfter w:w="1431" w:type="dxa"/>
          <w:trHeight w:val="735" w:hRule="atLeast"/>
        </w:trPr>
        <w:tc>
          <w:tcPr>
            <w:tcW w:w="477" w:type="dxa"/>
            <w:tcBorders>
              <w:top w:val="nil"/>
              <w:left w:val="single" w:color="auto" w:sz="4" w:space="0"/>
              <w:bottom w:val="single" w:color="auto" w:sz="4" w:space="0"/>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序号</w:t>
            </w:r>
          </w:p>
        </w:tc>
        <w:tc>
          <w:tcPr>
            <w:tcW w:w="3960" w:type="dxa"/>
            <w:gridSpan w:val="3"/>
            <w:tcBorders>
              <w:top w:val="single" w:color="auto" w:sz="4" w:space="0"/>
              <w:left w:val="nil"/>
              <w:bottom w:val="single" w:color="auto" w:sz="4" w:space="0"/>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调整前</w:t>
            </w:r>
          </w:p>
        </w:tc>
        <w:tc>
          <w:tcPr>
            <w:tcW w:w="5040" w:type="dxa"/>
            <w:gridSpan w:val="3"/>
            <w:tcBorders>
              <w:top w:val="single" w:color="auto" w:sz="4" w:space="0"/>
              <w:left w:val="nil"/>
              <w:bottom w:val="single" w:color="auto" w:sz="4" w:space="0"/>
              <w:right w:val="single" w:color="auto" w:sz="4" w:space="0"/>
            </w:tcBorders>
            <w:vAlign w:val="center"/>
          </w:tcPr>
          <w:p>
            <w:pPr>
              <w:widowControl/>
              <w:spacing w:line="540" w:lineRule="exact"/>
              <w:jc w:val="center"/>
              <w:rPr>
                <w:rFonts w:ascii="宋体" w:hAnsi="宋体" w:eastAsia="宋体" w:cs="宋体"/>
                <w:color w:val="000000"/>
                <w:kern w:val="0"/>
                <w:szCs w:val="21"/>
                <w:lang w:bidi="ar"/>
              </w:rPr>
            </w:pPr>
            <w:r>
              <w:rPr>
                <w:rFonts w:hint="eastAsia" w:ascii="宋体" w:hAnsi="宋体" w:eastAsia="宋体" w:cs="宋体"/>
                <w:color w:val="000000"/>
                <w:kern w:val="0"/>
                <w:szCs w:val="21"/>
                <w:lang w:bidi="ar"/>
              </w:rPr>
              <w:t>调整后</w:t>
            </w:r>
          </w:p>
        </w:tc>
        <w:tc>
          <w:tcPr>
            <w:tcW w:w="3641" w:type="dxa"/>
            <w:gridSpan w:val="2"/>
            <w:tcBorders>
              <w:top w:val="single" w:color="auto" w:sz="4" w:space="0"/>
              <w:left w:val="nil"/>
              <w:bottom w:val="single" w:color="auto" w:sz="4" w:space="0"/>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调整类型及依据</w:t>
            </w:r>
          </w:p>
        </w:tc>
        <w:tc>
          <w:tcPr>
            <w:tcW w:w="883" w:type="dxa"/>
            <w:gridSpan w:val="2"/>
            <w:tcBorders>
              <w:top w:val="nil"/>
              <w:left w:val="nil"/>
              <w:bottom w:val="single" w:color="auto" w:sz="4" w:space="0"/>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备注</w:t>
            </w:r>
          </w:p>
        </w:tc>
      </w:tr>
      <w:tr>
        <w:tblPrEx>
          <w:tblCellMar>
            <w:top w:w="0" w:type="dxa"/>
            <w:left w:w="108" w:type="dxa"/>
            <w:bottom w:w="0" w:type="dxa"/>
            <w:right w:w="108" w:type="dxa"/>
          </w:tblCellMar>
        </w:tblPrEx>
        <w:trPr>
          <w:gridAfter w:val="1"/>
          <w:wAfter w:w="1431" w:type="dxa"/>
          <w:trHeight w:val="735" w:hRule="atLeast"/>
        </w:trPr>
        <w:tc>
          <w:tcPr>
            <w:tcW w:w="477" w:type="dxa"/>
            <w:tcBorders>
              <w:top w:val="nil"/>
              <w:left w:val="single" w:color="auto" w:sz="4" w:space="0"/>
              <w:bottom w:val="single" w:color="auto" w:sz="4" w:space="0"/>
              <w:right w:val="single" w:color="auto" w:sz="4" w:space="0"/>
            </w:tcBorders>
            <w:vAlign w:val="center"/>
          </w:tcPr>
          <w:p>
            <w:pPr>
              <w:widowControl/>
              <w:spacing w:line="540" w:lineRule="exact"/>
              <w:jc w:val="center"/>
              <w:rPr>
                <w:rFonts w:ascii="Calibri" w:hAnsi="Calibri" w:eastAsia="宋体" w:cs="Times New Roman"/>
              </w:rPr>
            </w:pPr>
          </w:p>
        </w:tc>
        <w:tc>
          <w:tcPr>
            <w:tcW w:w="1320" w:type="dxa"/>
            <w:tcBorders>
              <w:top w:val="nil"/>
              <w:left w:val="nil"/>
              <w:bottom w:val="nil"/>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权力名称（子项）</w:t>
            </w:r>
          </w:p>
        </w:tc>
        <w:tc>
          <w:tcPr>
            <w:tcW w:w="1320" w:type="dxa"/>
            <w:tcBorders>
              <w:top w:val="nil"/>
              <w:left w:val="nil"/>
              <w:bottom w:val="single" w:color="auto" w:sz="4" w:space="0"/>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权力类型</w:t>
            </w:r>
          </w:p>
        </w:tc>
        <w:tc>
          <w:tcPr>
            <w:tcW w:w="1320" w:type="dxa"/>
            <w:tcBorders>
              <w:top w:val="nil"/>
              <w:left w:val="nil"/>
              <w:bottom w:val="single" w:color="auto" w:sz="4" w:space="0"/>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实施依据</w:t>
            </w:r>
          </w:p>
        </w:tc>
        <w:tc>
          <w:tcPr>
            <w:tcW w:w="1320" w:type="dxa"/>
            <w:tcBorders>
              <w:top w:val="nil"/>
              <w:left w:val="nil"/>
              <w:bottom w:val="nil"/>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权力名称（子项）</w:t>
            </w:r>
          </w:p>
        </w:tc>
        <w:tc>
          <w:tcPr>
            <w:tcW w:w="1320" w:type="dxa"/>
            <w:tcBorders>
              <w:top w:val="nil"/>
              <w:left w:val="nil"/>
              <w:bottom w:val="single" w:color="auto" w:sz="4" w:space="0"/>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权力类型</w:t>
            </w:r>
          </w:p>
        </w:tc>
        <w:tc>
          <w:tcPr>
            <w:tcW w:w="2400" w:type="dxa"/>
            <w:tcBorders>
              <w:top w:val="nil"/>
              <w:left w:val="nil"/>
              <w:bottom w:val="single" w:color="auto" w:sz="4" w:space="0"/>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实施依据</w:t>
            </w:r>
          </w:p>
        </w:tc>
        <w:tc>
          <w:tcPr>
            <w:tcW w:w="1676" w:type="dxa"/>
            <w:tcBorders>
              <w:top w:val="nil"/>
              <w:left w:val="nil"/>
              <w:bottom w:val="nil"/>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调整类型</w:t>
            </w:r>
          </w:p>
        </w:tc>
        <w:tc>
          <w:tcPr>
            <w:tcW w:w="1965" w:type="dxa"/>
            <w:tcBorders>
              <w:top w:val="nil"/>
              <w:left w:val="nil"/>
              <w:bottom w:val="nil"/>
              <w:right w:val="single" w:color="auto" w:sz="4" w:space="0"/>
            </w:tcBorders>
            <w:vAlign w:val="center"/>
          </w:tcPr>
          <w:p>
            <w:pPr>
              <w:widowControl/>
              <w:spacing w:line="540" w:lineRule="exact"/>
              <w:jc w:val="center"/>
              <w:rPr>
                <w:rFonts w:ascii="Calibri" w:hAnsi="Calibri" w:eastAsia="宋体" w:cs="Times New Roman"/>
              </w:rPr>
            </w:pPr>
            <w:r>
              <w:rPr>
                <w:rFonts w:hint="eastAsia" w:ascii="宋体" w:hAnsi="宋体" w:eastAsia="宋体" w:cs="宋体"/>
                <w:color w:val="000000"/>
                <w:kern w:val="0"/>
                <w:szCs w:val="21"/>
                <w:lang w:bidi="ar"/>
              </w:rPr>
              <w:t>调整理由</w:t>
            </w:r>
          </w:p>
        </w:tc>
        <w:tc>
          <w:tcPr>
            <w:tcW w:w="883" w:type="dxa"/>
            <w:gridSpan w:val="2"/>
            <w:tcBorders>
              <w:top w:val="nil"/>
              <w:left w:val="nil"/>
              <w:bottom w:val="single" w:color="auto" w:sz="4" w:space="0"/>
              <w:right w:val="single" w:color="auto" w:sz="4" w:space="0"/>
            </w:tcBorders>
            <w:vAlign w:val="center"/>
          </w:tcPr>
          <w:p>
            <w:pPr>
              <w:widowControl/>
              <w:spacing w:line="540" w:lineRule="exact"/>
              <w:jc w:val="center"/>
              <w:rPr>
                <w:rFonts w:ascii="Calibri" w:hAnsi="Calibri" w:eastAsia="宋体" w:cs="Times New Roman"/>
              </w:rPr>
            </w:pPr>
          </w:p>
        </w:tc>
      </w:tr>
      <w:tr>
        <w:tblPrEx>
          <w:tblCellMar>
            <w:top w:w="0" w:type="dxa"/>
            <w:left w:w="108" w:type="dxa"/>
            <w:bottom w:w="0" w:type="dxa"/>
            <w:right w:w="108" w:type="dxa"/>
          </w:tblCellMar>
        </w:tblPrEx>
        <w:trPr>
          <w:gridAfter w:val="1"/>
          <w:wAfter w:w="1431" w:type="dxa"/>
          <w:trHeight w:val="465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1</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cs="宋体"/>
                <w:sz w:val="16"/>
                <w:szCs w:val="16"/>
              </w:rPr>
            </w:pPr>
            <w:r>
              <w:rPr>
                <w:rFonts w:hint="eastAsia" w:ascii="宋体" w:hAnsi="宋体" w:cs="宋体"/>
                <w:kern w:val="0"/>
                <w:sz w:val="16"/>
                <w:szCs w:val="16"/>
                <w:lang w:bidi="ar"/>
              </w:rPr>
              <w:t>施工单位施工工地未设置硬质围挡，或者未采取覆盖、分段作业、择时施工、洒水抑尘、冲洗地面和车辆等有效防尘降尘措施；建筑土方、工程渣土、建筑垃圾未及时清运，或者未采用密闭式防尘网遮盖的处罚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cs="宋体"/>
                <w:szCs w:val="21"/>
              </w:rPr>
              <w:t>行政处罚</w:t>
            </w: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cs="宋体"/>
                <w:szCs w:val="21"/>
              </w:rPr>
              <w:t>中华人民共和国大气污染防治法</w:t>
            </w: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cs="宋体"/>
                <w:szCs w:val="21"/>
              </w:rPr>
              <w:t>增加</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cs="宋体"/>
                <w:szCs w:val="21"/>
              </w:rPr>
              <w:t>《中华人民共和国大气污染防治法》自2016年1月1日起施行</w:t>
            </w:r>
          </w:p>
        </w:tc>
        <w:tc>
          <w:tcPr>
            <w:tcW w:w="883" w:type="dxa"/>
            <w:gridSpan w:val="2"/>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2418"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2</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宋体" w:hAnsi="宋体" w:cs="宋体"/>
                <w:sz w:val="15"/>
                <w:szCs w:val="15"/>
              </w:rPr>
            </w:pPr>
            <w:r>
              <w:rPr>
                <w:rFonts w:hint="eastAsia" w:ascii="宋体" w:hAnsi="宋体" w:cs="宋体"/>
                <w:kern w:val="0"/>
                <w:sz w:val="15"/>
                <w:szCs w:val="15"/>
                <w:lang w:bidi="ar"/>
              </w:rPr>
              <w:t>建设单位未对暂时不能开工的建设用地的裸露地面进行覆盖，或者未对超过三个月不能开工的建设用地的裸露地面进行绿化、铺装或者遮盖的处罚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cs="宋体"/>
                <w:szCs w:val="21"/>
              </w:rPr>
              <w:t>行政处罚</w:t>
            </w: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cs="宋体"/>
                <w:szCs w:val="21"/>
              </w:rPr>
              <w:t>中华人民共和国大气污染防治法</w:t>
            </w: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cs="宋体"/>
                <w:szCs w:val="21"/>
              </w:rPr>
              <w:t>增加</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cs="宋体"/>
                <w:szCs w:val="21"/>
              </w:rPr>
              <w:t>《中华人民共和国大气污染防治法》自2016年1月1日起施行</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6109"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200" w:lineRule="exact"/>
              <w:jc w:val="center"/>
              <w:rPr>
                <w:rFonts w:ascii="宋体" w:hAnsi="宋体" w:cs="宋体"/>
                <w:kern w:val="0"/>
                <w:sz w:val="16"/>
                <w:szCs w:val="16"/>
                <w:lang w:bidi="ar"/>
              </w:rPr>
            </w:pPr>
            <w:r>
              <w:rPr>
                <w:rFonts w:hint="eastAsia" w:ascii="宋体" w:hAnsi="宋体" w:cs="宋体"/>
                <w:kern w:val="0"/>
                <w:sz w:val="16"/>
                <w:szCs w:val="16"/>
                <w:lang w:bidi="ar"/>
              </w:rPr>
              <w:t>建设单位或者个人明示或者暗示设计单位、施工单位违反《河南省发展应用新型墙体材料条例》的规定进行设计、施工；设计单位未按照国家有关规定设计使用新型墙体材料；施工图审查机构未对施工图设计文件中使用新型墙体材料的内容进行审查；施工单位未按照设计文件的要求使用新型墙体材料而使用黏土砖进行施工；监理单位未对建筑工程使用新型墙体材料的情况进行监理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行政处罚</w:t>
            </w: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kern w:val="0"/>
                <w:sz w:val="22"/>
                <w:lang w:bidi="ar"/>
              </w:rPr>
              <w:t>《河南省发展应用新型墙体材料条例》</w:t>
            </w: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新增</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kern w:val="0"/>
                <w:sz w:val="22"/>
                <w:lang w:bidi="ar"/>
              </w:rPr>
              <w:t>《河南省发展应用新型墙体材料条例》</w:t>
            </w:r>
            <w:r>
              <w:rPr>
                <w:rFonts w:hint="eastAsia" w:ascii="宋体" w:hAnsi="宋体" w:cs="宋体"/>
                <w:sz w:val="22"/>
                <w:szCs w:val="28"/>
              </w:rPr>
              <w:t>自2016年1月1日起施行</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856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4</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宋体" w:hAnsi="宋体" w:cs="宋体"/>
                <w:kern w:val="0"/>
                <w:sz w:val="18"/>
                <w:szCs w:val="18"/>
                <w:lang w:bidi="ar"/>
              </w:rPr>
            </w:pPr>
            <w:r>
              <w:rPr>
                <w:rFonts w:hint="eastAsia" w:ascii="宋体" w:hAnsi="宋体" w:cs="宋体"/>
                <w:kern w:val="0"/>
                <w:sz w:val="18"/>
                <w:szCs w:val="18"/>
                <w:lang w:bidi="ar"/>
              </w:rPr>
              <w:t>评估专业人员私自接受委托从事业务、收取费用;同时在两个以上评估机构从事业务;采用欺骗、利诱、胁迫，或者贬损、诋毁其他评估专业人员等不正当手段招揽业务;允许他人以本人名义从事业务，或者冒用他人名义从事业务;签署本人未承办业务的评估报告或者有重大遗漏的评估报告;索要、收受或者变相索要、收受合同约定以外的酬金、财物，或者谋取其他不正当利益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行政处罚</w:t>
            </w: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w:t>
            </w:r>
          </w:p>
          <w:p>
            <w:pPr>
              <w:jc w:val="center"/>
              <w:rPr>
                <w:rFonts w:ascii="宋体" w:hAnsi="宋体" w:cs="宋体"/>
                <w:sz w:val="22"/>
                <w:szCs w:val="28"/>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新增</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《中华人民共和国资产评估法》2016年12月1日起施行</w:t>
            </w:r>
          </w:p>
        </w:tc>
        <w:tc>
          <w:tcPr>
            <w:tcW w:w="826"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r>
      <w:tr>
        <w:tblPrEx>
          <w:tblCellMar>
            <w:top w:w="0" w:type="dxa"/>
            <w:left w:w="108" w:type="dxa"/>
            <w:bottom w:w="0" w:type="dxa"/>
            <w:right w:w="108" w:type="dxa"/>
          </w:tblCellMar>
        </w:tblPrEx>
        <w:trPr>
          <w:gridAfter w:val="2"/>
          <w:wAfter w:w="1488" w:type="dxa"/>
          <w:trHeight w:val="1397"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5</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评估专业人员签署虚假评估报告的处罚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行政处罚</w:t>
            </w: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w:t>
            </w: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新增</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《中华人民共和国资产评估法》2016年12月1日起施行</w:t>
            </w:r>
          </w:p>
        </w:tc>
        <w:tc>
          <w:tcPr>
            <w:tcW w:w="826"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6</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200" w:lineRule="exact"/>
              <w:jc w:val="center"/>
              <w:rPr>
                <w:rFonts w:ascii="宋体" w:hAnsi="宋体" w:cs="宋体"/>
                <w:kern w:val="0"/>
                <w:sz w:val="18"/>
                <w:szCs w:val="18"/>
                <w:lang w:bidi="ar"/>
              </w:rPr>
            </w:pPr>
            <w:r>
              <w:rPr>
                <w:rFonts w:hint="eastAsia" w:ascii="宋体" w:hAnsi="宋体" w:cs="宋体"/>
                <w:kern w:val="0"/>
                <w:sz w:val="18"/>
                <w:szCs w:val="18"/>
                <w:lang w:bidi="ar"/>
              </w:rPr>
              <w:t>评估机构利用开展业务之便，谋取不正当利益;允许其他机构以本机构名义开展业务，或者冒用其他机构名义开展业务;以恶性压价、支付回扣、虚假宣传，或者贬损、诋毁其他评估机构等不正当手段招揽业务;受理与自身有利害关系的业务;分别接受利益冲突双方的委托，对同一评估对象进行评估;出具有重大遗漏的评估报告;未按规定的期限保存评估档案;聘用或者指定不符合本法规定的人员从事评估业务;对本机构的评估专业人员疏于管理，造成不良后果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行政处罚</w:t>
            </w: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w:t>
            </w: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新增</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《中华人民共和国资产评估法》2016年12月1日起施行</w:t>
            </w:r>
          </w:p>
        </w:tc>
        <w:tc>
          <w:tcPr>
            <w:tcW w:w="826"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p>
            <w:pPr>
              <w:jc w:val="center"/>
              <w:rPr>
                <w:sz w:val="22"/>
                <w:szCs w:val="28"/>
              </w:rPr>
            </w:pPr>
          </w:p>
          <w:p>
            <w:pPr>
              <w:jc w:val="center"/>
              <w:rPr>
                <w:sz w:val="22"/>
                <w:szCs w:val="28"/>
              </w:rPr>
            </w:pPr>
          </w:p>
          <w:p>
            <w:pPr>
              <w:jc w:val="center"/>
              <w:rPr>
                <w:sz w:val="22"/>
                <w:szCs w:val="28"/>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7</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220" w:lineRule="exact"/>
              <w:jc w:val="center"/>
              <w:rPr>
                <w:rFonts w:ascii="宋体" w:hAnsi="宋体" w:cs="宋体"/>
                <w:kern w:val="0"/>
                <w:sz w:val="18"/>
                <w:szCs w:val="18"/>
                <w:lang w:bidi="ar"/>
              </w:rPr>
            </w:pPr>
            <w:r>
              <w:rPr>
                <w:rFonts w:hint="eastAsia" w:ascii="宋体" w:hAnsi="宋体" w:cs="宋体"/>
                <w:kern w:val="0"/>
                <w:sz w:val="18"/>
                <w:szCs w:val="18"/>
                <w:lang w:bidi="ar"/>
              </w:rPr>
              <w:t>评估机构未按规定备案或者不符合《中华人民共和国资产评估法》第十五条规定的条件的处罚罚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行政处罚</w:t>
            </w: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w:t>
            </w: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新增</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《中华人民共和国资产评估法》2016年12月1日起施行</w:t>
            </w:r>
          </w:p>
        </w:tc>
        <w:tc>
          <w:tcPr>
            <w:tcW w:w="826"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r>
      <w:tr>
        <w:tblPrEx>
          <w:tblCellMar>
            <w:top w:w="0" w:type="dxa"/>
            <w:left w:w="108" w:type="dxa"/>
            <w:bottom w:w="0" w:type="dxa"/>
            <w:right w:w="108" w:type="dxa"/>
          </w:tblCellMar>
        </w:tblPrEx>
        <w:trPr>
          <w:gridAfter w:val="2"/>
          <w:wAfter w:w="1488" w:type="dxa"/>
          <w:trHeight w:val="1123"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8</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220" w:lineRule="exact"/>
              <w:jc w:val="center"/>
              <w:rPr>
                <w:rFonts w:ascii="宋体" w:hAnsi="宋体" w:cs="宋体"/>
                <w:kern w:val="0"/>
                <w:sz w:val="18"/>
                <w:szCs w:val="18"/>
                <w:lang w:bidi="ar"/>
              </w:rPr>
            </w:pPr>
            <w:r>
              <w:rPr>
                <w:rFonts w:hint="eastAsia" w:ascii="宋体" w:hAnsi="宋体" w:cs="宋体"/>
                <w:kern w:val="0"/>
                <w:sz w:val="18"/>
                <w:szCs w:val="18"/>
                <w:lang w:bidi="ar"/>
              </w:rPr>
              <w:t>评估机构违反规定出具虚假评估报告的的处罚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行政处罚</w:t>
            </w: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w:t>
            </w: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新增</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《中华人民共和国资产评估法》2016年12月1日起施行</w:t>
            </w:r>
          </w:p>
        </w:tc>
        <w:tc>
          <w:tcPr>
            <w:tcW w:w="826"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9</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220" w:lineRule="exact"/>
              <w:jc w:val="center"/>
              <w:rPr>
                <w:rFonts w:ascii="宋体" w:hAnsi="宋体" w:cs="宋体"/>
                <w:kern w:val="0"/>
                <w:sz w:val="18"/>
                <w:szCs w:val="18"/>
                <w:lang w:bidi="ar"/>
              </w:rPr>
            </w:pPr>
            <w:r>
              <w:rPr>
                <w:rFonts w:hint="eastAsia" w:ascii="宋体" w:hAnsi="宋体" w:cs="宋体"/>
                <w:kern w:val="0"/>
                <w:sz w:val="18"/>
                <w:szCs w:val="18"/>
                <w:lang w:bidi="ar"/>
              </w:rPr>
              <w:t>应当委托评估机构进行法定评估而未委托的的处罚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行政处罚</w:t>
            </w: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w:t>
            </w: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新增</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《中华人民共和国资产评估法》2016年12月1日起施行</w:t>
            </w:r>
          </w:p>
        </w:tc>
        <w:tc>
          <w:tcPr>
            <w:tcW w:w="826"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r>
      <w:tr>
        <w:tblPrEx>
          <w:tblCellMar>
            <w:top w:w="0" w:type="dxa"/>
            <w:left w:w="108" w:type="dxa"/>
            <w:bottom w:w="0" w:type="dxa"/>
            <w:right w:w="108" w:type="dxa"/>
          </w:tblCellMar>
        </w:tblPrEx>
        <w:trPr>
          <w:gridAfter w:val="2"/>
          <w:wAfter w:w="1488" w:type="dxa"/>
          <w:trHeight w:val="4513"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10</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220" w:lineRule="exact"/>
              <w:jc w:val="center"/>
              <w:rPr>
                <w:rFonts w:ascii="宋体" w:hAnsi="宋体" w:cs="宋体"/>
                <w:kern w:val="0"/>
                <w:sz w:val="18"/>
                <w:szCs w:val="18"/>
                <w:lang w:bidi="ar"/>
              </w:rPr>
            </w:pPr>
            <w:r>
              <w:rPr>
                <w:rFonts w:hint="eastAsia" w:ascii="宋体" w:hAnsi="宋体" w:cs="宋体"/>
                <w:kern w:val="0"/>
                <w:sz w:val="18"/>
                <w:szCs w:val="18"/>
                <w:lang w:bidi="ar"/>
              </w:rPr>
              <w:t>委托人未依法选择评估机构;索要、收受或者变相索要、收受回扣;串通、唆使评估机构或者评估师出具虚假评估报告;不如实向评估机构提供权属证明、财务会计信息和其他资料;未按照法律规定和评估报告载明的使用范围使用评估报告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sz w:val="22"/>
                <w:szCs w:val="28"/>
              </w:rPr>
              <w:t>行政处罚</w:t>
            </w: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中华人民共和国资产评估法</w:t>
            </w: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新增</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r>
              <w:rPr>
                <w:rFonts w:hint="eastAsia" w:ascii="宋体" w:hAnsi="宋体" w:cs="宋体"/>
                <w:sz w:val="22"/>
                <w:szCs w:val="28"/>
              </w:rPr>
              <w:t>《中华人民共和国资产评估法》2016年12月1日起施行</w:t>
            </w:r>
          </w:p>
        </w:tc>
        <w:tc>
          <w:tcPr>
            <w:tcW w:w="826"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11</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评估行业协会违反《中华人民共和国资产评估法》规定的处罚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sz w:val="22"/>
                <w:szCs w:val="28"/>
              </w:rPr>
              <w:t>行政处罚</w:t>
            </w: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中华人民共和国资产评估法</w:t>
            </w: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新增</w:t>
            </w:r>
          </w:p>
        </w:tc>
        <w:tc>
          <w:tcPr>
            <w:tcW w:w="1965" w:type="dxa"/>
            <w:tcBorders>
              <w:top w:val="single" w:color="auto" w:sz="4" w:space="0"/>
              <w:left w:val="single" w:color="auto" w:sz="4" w:space="0"/>
              <w:bottom w:val="single" w:color="auto" w:sz="4" w:space="0"/>
              <w:right w:val="single" w:color="auto" w:sz="4" w:space="0"/>
            </w:tcBorders>
            <w:vAlign w:val="center"/>
          </w:tcPr>
          <w:p>
            <w:pPr>
              <w:spacing w:line="260" w:lineRule="exact"/>
              <w:jc w:val="center"/>
              <w:rPr>
                <w:rFonts w:ascii="宋体" w:hAnsi="宋体" w:cs="宋体"/>
                <w:sz w:val="22"/>
                <w:szCs w:val="28"/>
              </w:rPr>
            </w:pPr>
            <w:r>
              <w:rPr>
                <w:rFonts w:hint="eastAsia" w:ascii="宋体" w:hAnsi="宋体" w:cs="宋体"/>
                <w:sz w:val="22"/>
                <w:szCs w:val="28"/>
              </w:rPr>
              <w:t>《中华人民共和国资产评估法》2016年12月1日起施行</w:t>
            </w:r>
          </w:p>
        </w:tc>
        <w:tc>
          <w:tcPr>
            <w:tcW w:w="826"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12</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物业服务企业监督管理</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行政检查</w:t>
            </w: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280" w:lineRule="exact"/>
              <w:jc w:val="center"/>
              <w:rPr>
                <w:rFonts w:ascii="宋体" w:hAnsi="宋体" w:cs="宋体"/>
                <w:color w:val="000000"/>
                <w:kern w:val="0"/>
                <w:szCs w:val="21"/>
                <w:lang w:bidi="ar"/>
              </w:rPr>
            </w:pPr>
            <w:r>
              <w:rPr>
                <w:rFonts w:hint="eastAsia" w:ascii="宋体" w:hAnsi="宋体" w:cs="宋体"/>
                <w:color w:val="000000"/>
                <w:kern w:val="0"/>
                <w:szCs w:val="21"/>
                <w:lang w:bidi="ar"/>
              </w:rPr>
              <w:t>《物业管理条例》第5条“县级以上地方人民政府房地产主管部门负责本行政区域内物业管理活动的监督管理工作”</w:t>
            </w: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增加</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260" w:lineRule="exact"/>
              <w:jc w:val="center"/>
              <w:rPr>
                <w:rFonts w:ascii="宋体" w:hAnsi="宋体" w:cs="宋体"/>
                <w:color w:val="000000"/>
                <w:kern w:val="0"/>
                <w:szCs w:val="21"/>
                <w:lang w:bidi="ar"/>
              </w:rPr>
            </w:pPr>
            <w:r>
              <w:rPr>
                <w:rFonts w:hint="eastAsia" w:ascii="宋体" w:hAnsi="宋体" w:cs="宋体"/>
                <w:color w:val="000000"/>
                <w:kern w:val="0"/>
                <w:szCs w:val="21"/>
                <w:lang w:bidi="ar"/>
              </w:rPr>
              <w:t>《物业管理条例》第5条“县级以上地方人民政府房地产主管部门负责本行政区域内物业管理活动的监督管理工作”</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478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13</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房地产评估机构备案申请转报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其他职权</w:t>
            </w: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280" w:lineRule="exact"/>
              <w:jc w:val="center"/>
              <w:rPr>
                <w:rFonts w:ascii="宋体" w:hAnsi="宋体"/>
                <w:sz w:val="16"/>
                <w:szCs w:val="16"/>
              </w:rPr>
            </w:pPr>
            <w:r>
              <w:rPr>
                <w:rFonts w:hint="eastAsia" w:ascii="宋体" w:hAnsi="宋体" w:cs="宋体"/>
                <w:color w:val="000000"/>
                <w:kern w:val="0"/>
                <w:sz w:val="16"/>
                <w:szCs w:val="16"/>
                <w:lang w:bidi="ar"/>
              </w:rPr>
              <w:t>《中华人民共和国资产评估法》第16条“</w:t>
            </w:r>
            <w:r>
              <w:rPr>
                <w:rFonts w:ascii="宋体" w:hAnsi="宋体" w:cs="宋体"/>
                <w:kern w:val="0"/>
                <w:sz w:val="16"/>
                <w:szCs w:val="16"/>
              </w:rPr>
              <w:t>评估机构应当自领取营业执照之日起三十日内向有关评估行政管理部门备案</w:t>
            </w:r>
            <w:r>
              <w:rPr>
                <w:rFonts w:hint="eastAsia" w:ascii="宋体" w:hAnsi="宋体" w:cs="宋体"/>
                <w:color w:val="000000"/>
                <w:kern w:val="0"/>
                <w:sz w:val="16"/>
                <w:szCs w:val="16"/>
                <w:lang w:bidi="ar"/>
              </w:rPr>
              <w:t>”</w:t>
            </w:r>
            <w:r>
              <w:rPr>
                <w:rFonts w:ascii="宋体" w:hAnsi="宋体" w:cs="宋体"/>
                <w:kern w:val="0"/>
                <w:sz w:val="16"/>
                <w:szCs w:val="16"/>
              </w:rPr>
              <w:t xml:space="preserve"> 。</w:t>
            </w:r>
            <w:r>
              <w:rPr>
                <w:rFonts w:hint="eastAsia" w:ascii="宋体" w:hAnsi="宋体" w:cs="宋体"/>
                <w:color w:val="000000"/>
                <w:kern w:val="0"/>
                <w:sz w:val="16"/>
                <w:szCs w:val="16"/>
                <w:lang w:bidi="ar"/>
              </w:rPr>
              <w:t>建房[2016]275号“</w:t>
            </w:r>
            <w:r>
              <w:rPr>
                <w:rFonts w:hint="eastAsia" w:ascii="宋体" w:hAnsi="宋体" w:cs="宋体"/>
                <w:color w:val="000000"/>
                <w:kern w:val="0"/>
                <w:sz w:val="16"/>
                <w:szCs w:val="16"/>
              </w:rPr>
              <w:t>对于已取得资质等级的房地产估价机构，在资质有效期内，原资质继续有效；资质有效期满30日前，应向省级住房城乡建设（房地产）主管部门提出备案申请</w:t>
            </w:r>
            <w:r>
              <w:rPr>
                <w:rFonts w:hint="eastAsia" w:ascii="宋体" w:hAnsi="宋体" w:cs="宋体"/>
                <w:color w:val="000000"/>
                <w:kern w:val="0"/>
                <w:sz w:val="16"/>
                <w:szCs w:val="16"/>
                <w:lang w:bidi="ar"/>
              </w:rPr>
              <w:t>”</w:t>
            </w:r>
            <w:r>
              <w:rPr>
                <w:rFonts w:hint="eastAsia" w:ascii="宋体" w:hAnsi="宋体" w:cs="宋体"/>
                <w:color w:val="000000"/>
                <w:kern w:val="0"/>
                <w:sz w:val="16"/>
                <w:szCs w:val="16"/>
              </w:rPr>
              <w:t xml:space="preserve"> 。</w:t>
            </w:r>
            <w:r>
              <w:rPr>
                <w:rFonts w:hint="eastAsia" w:ascii="宋体" w:hAnsi="宋体" w:cs="宋体"/>
                <w:color w:val="000000"/>
                <w:kern w:val="0"/>
                <w:sz w:val="16"/>
                <w:szCs w:val="16"/>
                <w:lang w:bidi="ar"/>
              </w:rPr>
              <w:t>豫建房管[2016]56号“</w:t>
            </w:r>
            <w:r>
              <w:rPr>
                <w:rFonts w:hint="eastAsia" w:ascii="宋体" w:hAnsi="宋体" w:cs="Arial"/>
                <w:color w:val="000000"/>
                <w:kern w:val="0"/>
                <w:sz w:val="16"/>
                <w:szCs w:val="16"/>
                <w:shd w:val="clear" w:color="auto" w:fill="FFFFFF"/>
              </w:rPr>
              <w:t>各地</w:t>
            </w:r>
            <w:r>
              <w:rPr>
                <w:rFonts w:hint="eastAsia" w:ascii="宋体" w:hAnsi="宋体" w:cs="Arial"/>
                <w:color w:val="000000"/>
                <w:kern w:val="0"/>
                <w:sz w:val="16"/>
                <w:szCs w:val="16"/>
              </w:rPr>
              <w:t>房地产主管部门</w:t>
            </w:r>
            <w:r>
              <w:rPr>
                <w:rFonts w:hint="eastAsia" w:ascii="宋体" w:hAnsi="宋体" w:cs="Arial"/>
                <w:color w:val="000000"/>
                <w:kern w:val="0"/>
                <w:sz w:val="16"/>
                <w:szCs w:val="16"/>
                <w:shd w:val="clear" w:color="auto" w:fill="FFFFFF"/>
              </w:rPr>
              <w:t>对新机构备案申请、原机构变更申请、原资质到期机构备案申请，要严格按《资产评估法》和房地产估价行业监督管理办法执行</w:t>
            </w:r>
            <w:r>
              <w:rPr>
                <w:rFonts w:hint="eastAsia" w:ascii="宋体" w:hAnsi="宋体" w:cs="宋体"/>
                <w:color w:val="000000"/>
                <w:kern w:val="0"/>
                <w:sz w:val="16"/>
                <w:szCs w:val="16"/>
                <w:lang w:bidi="ar"/>
              </w:rPr>
              <w:t>”。</w:t>
            </w: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增加</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法律规定、文件规定</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r>
      <w:tr>
        <w:tblPrEx>
          <w:tblCellMar>
            <w:top w:w="0" w:type="dxa"/>
            <w:left w:w="108" w:type="dxa"/>
            <w:bottom w:w="0" w:type="dxa"/>
            <w:right w:w="108" w:type="dxa"/>
          </w:tblCellMar>
        </w:tblPrEx>
        <w:trPr>
          <w:gridAfter w:val="2"/>
          <w:wAfter w:w="1488" w:type="dxa"/>
          <w:trHeight w:val="8648"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14</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房地产估价机构监督管理检查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行政检查</w:t>
            </w: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280" w:lineRule="exact"/>
              <w:jc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《中华人民共和国资产评估法》第7条“</w:t>
            </w:r>
            <w:r>
              <w:rPr>
                <w:rFonts w:ascii="宋体" w:hAnsi="宋体" w:cs="宋体"/>
                <w:kern w:val="0"/>
                <w:sz w:val="16"/>
                <w:szCs w:val="16"/>
              </w:rPr>
              <w:t>设区的市级以上地方人民政府有关评估行政管理部门按照各自职责分工，对本行政区域内的评估行业进行监督管理</w:t>
            </w:r>
            <w:r>
              <w:rPr>
                <w:rFonts w:hint="eastAsia" w:ascii="宋体" w:hAnsi="宋体" w:cs="宋体"/>
                <w:color w:val="000000"/>
                <w:kern w:val="0"/>
                <w:sz w:val="16"/>
                <w:szCs w:val="16"/>
                <w:lang w:bidi="ar"/>
              </w:rPr>
              <w:t>”</w:t>
            </w:r>
            <w:r>
              <w:rPr>
                <w:rFonts w:ascii="宋体" w:hAnsi="宋体" w:cs="宋体"/>
                <w:kern w:val="0"/>
                <w:sz w:val="16"/>
                <w:szCs w:val="16"/>
              </w:rPr>
              <w:t xml:space="preserve"> 。</w:t>
            </w:r>
            <w:r>
              <w:rPr>
                <w:rFonts w:hint="eastAsia" w:ascii="宋体" w:hAnsi="宋体" w:cs="宋体"/>
                <w:color w:val="000000"/>
                <w:kern w:val="0"/>
                <w:sz w:val="16"/>
                <w:szCs w:val="16"/>
                <w:lang w:bidi="ar"/>
              </w:rPr>
              <w:t>第17条“</w:t>
            </w:r>
            <w:r>
              <w:rPr>
                <w:rFonts w:ascii="宋体" w:hAnsi="宋体" w:cs="宋体"/>
                <w:kern w:val="0"/>
                <w:sz w:val="16"/>
                <w:szCs w:val="16"/>
              </w:rPr>
              <w:t>评估机构应当依法接受监督检查，如实提供评估档案以及相关情况</w:t>
            </w:r>
            <w:r>
              <w:rPr>
                <w:rFonts w:hint="eastAsia" w:ascii="宋体" w:hAnsi="宋体" w:cs="宋体"/>
                <w:color w:val="000000"/>
                <w:kern w:val="0"/>
                <w:sz w:val="16"/>
                <w:szCs w:val="16"/>
                <w:lang w:bidi="ar"/>
              </w:rPr>
              <w:t>”</w:t>
            </w:r>
            <w:r>
              <w:rPr>
                <w:rFonts w:ascii="宋体" w:hAnsi="宋体" w:cs="宋体"/>
                <w:kern w:val="0"/>
                <w:sz w:val="16"/>
                <w:szCs w:val="16"/>
              </w:rPr>
              <w:t xml:space="preserve"> 。</w:t>
            </w:r>
            <w:r>
              <w:rPr>
                <w:rFonts w:hint="eastAsia" w:ascii="宋体" w:hAnsi="宋体" w:cs="宋体"/>
                <w:color w:val="000000"/>
                <w:kern w:val="0"/>
                <w:sz w:val="16"/>
                <w:szCs w:val="16"/>
                <w:lang w:bidi="ar"/>
              </w:rPr>
              <w:t>第40条“</w:t>
            </w:r>
            <w:r>
              <w:rPr>
                <w:rFonts w:ascii="宋体" w:hAnsi="宋体" w:cs="宋体"/>
                <w:kern w:val="0"/>
                <w:sz w:val="16"/>
                <w:szCs w:val="16"/>
              </w:rPr>
              <w:t>设区的市级以上人民政府有关评估行政管理部门依据各自职责，负责监督管理评估行业，对评估机构和评估专业人员的违法行为依法实施行政处罚，将处罚情况及时通报有关评估行业协会，并依法向社会公开</w:t>
            </w:r>
            <w:r>
              <w:rPr>
                <w:rFonts w:hint="eastAsia" w:ascii="宋体" w:hAnsi="宋体" w:cs="宋体"/>
                <w:color w:val="000000"/>
                <w:kern w:val="0"/>
                <w:sz w:val="16"/>
                <w:szCs w:val="16"/>
                <w:lang w:bidi="ar"/>
              </w:rPr>
              <w:t>”。《房地产估价机构管理办法》第5条“</w:t>
            </w:r>
            <w:r>
              <w:rPr>
                <w:rFonts w:hint="eastAsia" w:ascii="宋体" w:hAnsi="宋体" w:cs="宋体"/>
                <w:kern w:val="0"/>
                <w:sz w:val="16"/>
                <w:szCs w:val="16"/>
              </w:rPr>
              <w:t>房地产估价机构违法从事房地产估价活动的，违法行为发生地的县级以上地方人民政府房地产主管部门应当依法查处</w:t>
            </w:r>
            <w:r>
              <w:rPr>
                <w:rFonts w:hint="eastAsia" w:ascii="宋体" w:hAnsi="宋体" w:cs="宋体"/>
                <w:color w:val="000000"/>
                <w:kern w:val="0"/>
                <w:sz w:val="16"/>
                <w:szCs w:val="16"/>
                <w:lang w:bidi="ar"/>
              </w:rPr>
              <w:t>”第37条“</w:t>
            </w:r>
            <w:r>
              <w:rPr>
                <w:rFonts w:hint="eastAsia" w:ascii="宋体" w:hAnsi="宋体" w:cs="宋体"/>
                <w:kern w:val="0"/>
                <w:sz w:val="16"/>
                <w:szCs w:val="16"/>
              </w:rPr>
              <w:t>县级以上人民政府房地产主管部门应当依照有关法律、法规和本办法的规定，对房地产估价机构和分支机构的设立、估价业务及执行房地产估价规范和标准的情况实施监督检查</w:t>
            </w:r>
            <w:r>
              <w:rPr>
                <w:rFonts w:hint="eastAsia" w:ascii="宋体" w:hAnsi="宋体" w:cs="宋体"/>
                <w:color w:val="000000"/>
                <w:kern w:val="0"/>
                <w:sz w:val="16"/>
                <w:szCs w:val="16"/>
                <w:lang w:bidi="ar"/>
              </w:rPr>
              <w:t>”。</w:t>
            </w: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增加</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法律规定</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15</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ascii="宋体" w:hAnsi="宋体"/>
                <w:szCs w:val="21"/>
              </w:rPr>
              <w:t>房地产评估机构行业协会实施监督检查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ascii="宋体" w:hAnsi="宋体"/>
                <w:szCs w:val="21"/>
              </w:rPr>
              <w:t>行政检查</w:t>
            </w: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sz w:val="16"/>
                <w:szCs w:val="16"/>
              </w:rPr>
            </w:pPr>
            <w:r>
              <w:rPr>
                <w:rFonts w:hint="eastAsia" w:ascii="宋体" w:hAnsi="宋体" w:cs="宋体"/>
                <w:color w:val="000000"/>
                <w:kern w:val="0"/>
                <w:sz w:val="16"/>
                <w:szCs w:val="16"/>
                <w:lang w:bidi="ar"/>
              </w:rPr>
              <w:t>《中华人民共和国资产评估法》</w:t>
            </w:r>
            <w:r>
              <w:rPr>
                <w:rFonts w:hint="eastAsia" w:ascii="宋体" w:hAnsi="宋体"/>
                <w:sz w:val="16"/>
                <w:szCs w:val="16"/>
              </w:rPr>
              <w:t>第41条“</w:t>
            </w:r>
            <w:r>
              <w:rPr>
                <w:rFonts w:ascii="宋体" w:hAnsi="宋体" w:cs="宋体"/>
                <w:kern w:val="0"/>
                <w:sz w:val="16"/>
                <w:szCs w:val="16"/>
              </w:rPr>
              <w:t>评估行政管理部门对有关评估行业协会实施监督检查，对检查发现的问题和针对协会的投诉、举报，应当及时调查处理</w:t>
            </w:r>
            <w:r>
              <w:rPr>
                <w:rFonts w:hint="eastAsia" w:ascii="宋体" w:hAnsi="宋体"/>
                <w:sz w:val="16"/>
                <w:szCs w:val="16"/>
              </w:rPr>
              <w:t>”。</w:t>
            </w: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增加</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法律规定</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r>
      <w:tr>
        <w:tblPrEx>
          <w:tblCellMar>
            <w:top w:w="0" w:type="dxa"/>
            <w:left w:w="108" w:type="dxa"/>
            <w:bottom w:w="0" w:type="dxa"/>
            <w:right w:w="108" w:type="dxa"/>
          </w:tblCellMar>
        </w:tblPrEx>
        <w:trPr>
          <w:gridAfter w:val="2"/>
          <w:wAfter w:w="1488" w:type="dxa"/>
          <w:trHeight w:val="330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16</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房地产经纪机构监督管理检查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行政检查</w:t>
            </w: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《房地产经纪管理办法》第5条“</w:t>
            </w:r>
            <w:r>
              <w:rPr>
                <w:rFonts w:hint="eastAsia" w:ascii="宋体" w:hAnsi="宋体" w:cs="宋体"/>
                <w:color w:val="000000"/>
                <w:kern w:val="0"/>
                <w:sz w:val="16"/>
                <w:szCs w:val="16"/>
                <w:shd w:val="clear" w:color="auto" w:fill="FFFFFF"/>
              </w:rPr>
              <w:t>县级以上人民政府建设（房地产）主管部门、价格主管部门、人力资源和社会保障主管部门应当按照职责分工，分别负责房地产经纪活动的监督和管理</w:t>
            </w:r>
            <w:r>
              <w:rPr>
                <w:rFonts w:hint="eastAsia" w:ascii="宋体" w:hAnsi="宋体" w:cs="宋体"/>
                <w:color w:val="000000"/>
                <w:kern w:val="0"/>
                <w:sz w:val="16"/>
                <w:szCs w:val="16"/>
                <w:lang w:bidi="ar"/>
              </w:rPr>
              <w:t>”。第28条“</w:t>
            </w:r>
            <w:r>
              <w:rPr>
                <w:rFonts w:hint="eastAsia" w:ascii="宋体" w:hAnsi="宋体" w:cs="宋体"/>
                <w:color w:val="000000"/>
                <w:kern w:val="0"/>
                <w:sz w:val="16"/>
                <w:szCs w:val="16"/>
                <w:shd w:val="clear" w:color="auto" w:fill="FFFFFF"/>
              </w:rPr>
              <w:t>建设（房地产）主管部门、价格主管部门应当通过现场巡查、合同抽查、投诉受理等方式，采取约谈、记入信用档案、媒体曝光等措施，对房地产经纪机构和房地产经纪人员进行监督</w:t>
            </w:r>
            <w:r>
              <w:rPr>
                <w:rFonts w:hint="eastAsia" w:ascii="宋体" w:hAnsi="宋体" w:cs="宋体"/>
                <w:color w:val="000000"/>
                <w:kern w:val="0"/>
                <w:sz w:val="16"/>
                <w:szCs w:val="16"/>
                <w:lang w:bidi="ar"/>
              </w:rPr>
              <w:t>”。</w:t>
            </w: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增加</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法律规定</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318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17</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szCs w:val="21"/>
              </w:rPr>
              <w:t>前期物业招标投标监督管理</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szCs w:val="21"/>
              </w:rPr>
              <w:t>其他职权</w:t>
            </w: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《前期物业管理招标投标管理暂行办法》（建住房〔2003〕130号）第五条 “国务院建设行政主管部门负责全国物业管理招标投标活动的监督管理。省、自治区人民政府建设行政主管部门负责本行政区域内物业管理招标投标活动的监督管理。直辖市、市、县人民政府房地产行政主管部门负责本行政区域内物业管理招标投标活动的监督管理。”</w:t>
            </w: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增加</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部门规章规定</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339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18</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ascii="宋体" w:hAnsi="宋体" w:cs="宋体"/>
                <w:color w:val="000000"/>
                <w:kern w:val="0"/>
                <w:szCs w:val="21"/>
                <w:lang w:bidi="ar"/>
              </w:rPr>
              <w:t>物业管理师</w:t>
            </w:r>
            <w:r>
              <w:rPr>
                <w:rFonts w:hint="eastAsia" w:ascii="宋体" w:hAnsi="宋体" w:cs="宋体"/>
                <w:color w:val="000000"/>
                <w:kern w:val="0"/>
                <w:szCs w:val="21"/>
                <w:lang w:bidi="ar"/>
              </w:rPr>
              <w:t>、</w:t>
            </w:r>
            <w:r>
              <w:rPr>
                <w:rFonts w:ascii="宋体" w:hAnsi="宋体" w:cs="宋体"/>
                <w:color w:val="000000"/>
                <w:kern w:val="0"/>
                <w:szCs w:val="21"/>
                <w:lang w:bidi="ar"/>
              </w:rPr>
              <w:t>房地产估价师</w:t>
            </w:r>
            <w:r>
              <w:rPr>
                <w:rFonts w:hint="eastAsia" w:ascii="宋体" w:hAnsi="宋体" w:cs="宋体"/>
                <w:color w:val="000000"/>
                <w:kern w:val="0"/>
                <w:szCs w:val="21"/>
                <w:lang w:bidi="ar"/>
              </w:rPr>
              <w:t>、、</w:t>
            </w:r>
            <w:r>
              <w:rPr>
                <w:rFonts w:ascii="宋体" w:hAnsi="宋体" w:cs="宋体"/>
                <w:color w:val="000000"/>
                <w:kern w:val="0"/>
                <w:szCs w:val="21"/>
                <w:lang w:bidi="ar"/>
              </w:rPr>
              <w:t>注册办理</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ascii="宋体" w:hAnsi="宋体" w:cs="宋体"/>
                <w:color w:val="000000"/>
                <w:kern w:val="0"/>
                <w:szCs w:val="21"/>
                <w:lang w:bidi="ar"/>
              </w:rPr>
              <w:t>其他职权</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kern w:val="0"/>
                <w:szCs w:val="21"/>
                <w:lang w:bidi="ar"/>
              </w:rPr>
            </w:pPr>
            <w:r>
              <w:rPr>
                <w:rFonts w:hint="eastAsia" w:ascii="宋体" w:hAnsi="宋体" w:cs="Calibri"/>
                <w:kern w:val="0"/>
                <w:szCs w:val="21"/>
              </w:rPr>
              <w:t>国人部发〔</w:t>
            </w:r>
            <w:r>
              <w:rPr>
                <w:rFonts w:ascii="宋体" w:hAnsi="宋体" w:cs="Calibri"/>
                <w:kern w:val="0"/>
                <w:szCs w:val="21"/>
              </w:rPr>
              <w:t>2005</w:t>
            </w:r>
            <w:r>
              <w:rPr>
                <w:rFonts w:hint="eastAsia" w:ascii="宋体" w:hAnsi="宋体" w:cs="Calibri"/>
                <w:kern w:val="0"/>
                <w:szCs w:val="21"/>
              </w:rPr>
              <w:t>〕</w:t>
            </w:r>
            <w:r>
              <w:rPr>
                <w:rFonts w:ascii="宋体" w:hAnsi="宋体" w:cs="Calibri"/>
                <w:kern w:val="0"/>
                <w:szCs w:val="21"/>
              </w:rPr>
              <w:t>95</w:t>
            </w:r>
            <w:r>
              <w:rPr>
                <w:rFonts w:hint="eastAsia" w:ascii="宋体" w:hAnsi="宋体" w:cs="Calibri"/>
                <w:kern w:val="0"/>
                <w:szCs w:val="21"/>
              </w:rPr>
              <w:t>号</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ascii="宋体" w:hAnsi="宋体" w:cs="宋体"/>
                <w:color w:val="000000"/>
                <w:kern w:val="0"/>
                <w:szCs w:val="21"/>
                <w:lang w:bidi="ar"/>
              </w:rPr>
              <w:t>国发</w:t>
            </w:r>
            <w:r>
              <w:rPr>
                <w:rFonts w:hint="eastAsia" w:ascii="宋体" w:hAnsi="宋体" w:cs="宋体"/>
                <w:color w:val="000000"/>
                <w:kern w:val="0"/>
                <w:szCs w:val="21"/>
                <w:lang w:bidi="ar"/>
              </w:rPr>
              <w:t>[2016]</w:t>
            </w:r>
          </w:p>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35号“取消物业管理师”。豫政[2016]78号“取消房地产估价师注册手续初审”</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19</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ascii="宋体" w:hAnsi="宋体" w:cs="宋体"/>
                <w:color w:val="000000"/>
                <w:kern w:val="0"/>
                <w:szCs w:val="21"/>
                <w:lang w:bidi="ar"/>
              </w:rPr>
              <w:t>物业服务企业三级</w:t>
            </w:r>
            <w:r>
              <w:rPr>
                <w:rFonts w:hint="eastAsia" w:ascii="宋体" w:hAnsi="宋体" w:cs="宋体"/>
                <w:color w:val="000000"/>
                <w:kern w:val="0"/>
                <w:szCs w:val="21"/>
                <w:lang w:bidi="ar"/>
              </w:rPr>
              <w:t>（暂定）</w:t>
            </w:r>
            <w:r>
              <w:rPr>
                <w:rFonts w:ascii="宋体" w:hAnsi="宋体" w:cs="宋体"/>
                <w:color w:val="000000"/>
                <w:kern w:val="0"/>
                <w:szCs w:val="21"/>
                <w:lang w:bidi="ar"/>
              </w:rPr>
              <w:t>资质审批</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ascii="宋体" w:hAnsi="宋体" w:cs="宋体"/>
                <w:color w:val="000000"/>
                <w:kern w:val="0"/>
                <w:szCs w:val="21"/>
                <w:lang w:bidi="ar"/>
              </w:rPr>
              <w:t>行政许可</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《物业服务企业资质管理办法》第2条</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资质取消（国发[2017]7号）“取消物业服务企业二级以下资质认定”</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300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20</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物业服务企业资质年度动态考核</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行政检查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《河南省物业管理企业资质管理实施细则》第15条</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ascii="宋体" w:hAnsi="宋体"/>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资质</w:t>
            </w:r>
            <w:r>
              <w:rPr>
                <w:rFonts w:ascii="宋体" w:hAnsi="宋体" w:cs="宋体"/>
                <w:color w:val="000000"/>
                <w:kern w:val="0"/>
                <w:szCs w:val="21"/>
                <w:lang w:bidi="ar"/>
              </w:rPr>
              <w:t>取消</w:t>
            </w:r>
            <w:r>
              <w:rPr>
                <w:rFonts w:hint="eastAsia" w:ascii="宋体" w:hAnsi="宋体" w:cs="宋体"/>
                <w:color w:val="000000"/>
                <w:kern w:val="0"/>
                <w:szCs w:val="21"/>
                <w:lang w:bidi="ar"/>
              </w:rPr>
              <w:t>（国发[2017]7号）“取消物业服务企业二级以下资质认定”</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21</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ascii="宋体" w:hAnsi="宋体"/>
                <w:szCs w:val="21"/>
              </w:rPr>
              <w:t>物业服务企业资质受理转报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ascii="宋体" w:hAnsi="宋体"/>
                <w:szCs w:val="21"/>
              </w:rPr>
              <w:t>其他职权</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ascii="宋体" w:hAnsi="宋体"/>
                <w:szCs w:val="21"/>
              </w:rPr>
              <w:t>豫建住房</w:t>
            </w:r>
            <w:r>
              <w:rPr>
                <w:rFonts w:hint="eastAsia" w:ascii="宋体" w:hAnsi="宋体"/>
                <w:szCs w:val="21"/>
              </w:rPr>
              <w:t>[2005]45号第8条</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ascii="宋体" w:hAnsi="宋体"/>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ascii="宋体" w:hAnsi="宋体" w:cs="宋体"/>
                <w:color w:val="000000"/>
                <w:kern w:val="0"/>
                <w:szCs w:val="21"/>
                <w:lang w:bidi="ar"/>
              </w:rPr>
              <w:t>资质取消</w:t>
            </w:r>
            <w:r>
              <w:rPr>
                <w:rFonts w:hint="eastAsia" w:ascii="宋体" w:hAnsi="宋体" w:cs="宋体"/>
                <w:color w:val="000000"/>
                <w:kern w:val="0"/>
                <w:szCs w:val="21"/>
                <w:lang w:bidi="ar"/>
              </w:rPr>
              <w:t>（国发[2017]7号）“取消物业服务企业二级以下资质认定”</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trHeight w:val="193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22</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szCs w:val="21"/>
              </w:rPr>
              <w:t>房屋权属登记信息查询</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行政确认</w:t>
            </w:r>
          </w:p>
        </w:tc>
        <w:tc>
          <w:tcPr>
            <w:tcW w:w="132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宋体"/>
                <w:color w:val="000000"/>
                <w:kern w:val="0"/>
                <w:szCs w:val="21"/>
                <w:lang w:bidi="ar"/>
              </w:rPr>
            </w:pPr>
            <w:r>
              <w:rPr>
                <w:rFonts w:hint="eastAsia" w:ascii="宋体" w:hAnsi="宋体" w:cs="宋体"/>
                <w:szCs w:val="21"/>
              </w:rPr>
              <w:t>《中华人民共和国档案法》（主席令第71号）第八条</w:t>
            </w:r>
          </w:p>
          <w:p>
            <w:pPr>
              <w:spacing w:line="30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划转</w:t>
            </w:r>
          </w:p>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职责划转给周口市不动产登记中心</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1488" w:type="dxa"/>
            <w:gridSpan w:val="2"/>
            <w:vAlign w:val="center"/>
          </w:tcPr>
          <w:p>
            <w:pPr>
              <w:widowControl/>
              <w:spacing w:line="30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trHeight w:val="209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23</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r>
              <w:rPr>
                <w:rFonts w:hint="eastAsia" w:ascii="宋体" w:hAnsi="宋体" w:cs="宋体"/>
                <w:szCs w:val="21"/>
              </w:rPr>
              <w:t>负责市区国有、集体土地上房屋权属档案的管理工作</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r>
              <w:rPr>
                <w:rFonts w:hint="eastAsia" w:ascii="宋体" w:hAnsi="宋体" w:cs="宋体"/>
                <w:color w:val="000000"/>
                <w:kern w:val="0"/>
                <w:szCs w:val="21"/>
                <w:lang w:bidi="ar"/>
              </w:rPr>
              <w:t>其他</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r>
              <w:rPr>
                <w:rFonts w:hint="eastAsia" w:ascii="宋体" w:hAnsi="宋体" w:cs="宋体"/>
                <w:szCs w:val="21"/>
              </w:rPr>
              <w:t>《城市房地产权属档案管理办法》（建设部令第101号）</w:t>
            </w:r>
          </w:p>
          <w:p>
            <w:pPr>
              <w:widowControl/>
              <w:spacing w:line="300" w:lineRule="exact"/>
              <w:jc w:val="center"/>
              <w:rPr>
                <w:rFonts w:ascii="宋体" w:hAnsi="宋体" w:cs="宋体"/>
                <w:szCs w:val="21"/>
              </w:rPr>
            </w:pPr>
            <w:r>
              <w:rPr>
                <w:rFonts w:hint="eastAsia" w:ascii="宋体" w:hAnsi="宋体" w:cs="宋体"/>
                <w:szCs w:val="21"/>
              </w:rPr>
              <w:t>法》</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划转</w:t>
            </w:r>
          </w:p>
          <w:p>
            <w:pPr>
              <w:widowControl/>
              <w:spacing w:line="300" w:lineRule="exact"/>
              <w:jc w:val="center"/>
              <w:rPr>
                <w:rFonts w:ascii="宋体" w:hAnsi="宋体" w:cs="宋体"/>
                <w:szCs w:val="21"/>
              </w:rPr>
            </w:pPr>
            <w:r>
              <w:rPr>
                <w:rFonts w:hint="eastAsia" w:ascii="宋体" w:hAnsi="宋体" w:cs="宋体"/>
                <w:color w:val="000000"/>
                <w:kern w:val="0"/>
                <w:szCs w:val="21"/>
                <w:lang w:bidi="ar"/>
              </w:rPr>
              <w:t>职责划转给周口市不动产登记中心</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p>
        </w:tc>
        <w:tc>
          <w:tcPr>
            <w:tcW w:w="1488" w:type="dxa"/>
            <w:gridSpan w:val="2"/>
            <w:vAlign w:val="center"/>
          </w:tcPr>
          <w:p>
            <w:pPr>
              <w:widowControl/>
              <w:spacing w:line="30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trHeight w:val="229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24</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r>
              <w:rPr>
                <w:rFonts w:hint="eastAsia" w:ascii="宋体" w:hAnsi="宋体" w:cs="宋体"/>
                <w:szCs w:val="21"/>
              </w:rPr>
              <w:t>负责对房屋权属档案收集整理、档案灭籍及利用工作</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其它职权</w:t>
            </w:r>
          </w:p>
        </w:tc>
        <w:tc>
          <w:tcPr>
            <w:tcW w:w="1320"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宋体" w:hAnsi="宋体" w:cs="宋体"/>
                <w:szCs w:val="21"/>
              </w:rPr>
            </w:pPr>
            <w:r>
              <w:rPr>
                <w:rFonts w:hint="eastAsia" w:ascii="宋体" w:hAnsi="宋体" w:cs="宋体"/>
                <w:szCs w:val="21"/>
              </w:rPr>
              <w:t>《城市房地产权属档案管理办法》（建设部令第101号）第四条</w:t>
            </w:r>
          </w:p>
          <w:p>
            <w:pPr>
              <w:widowControl/>
              <w:spacing w:line="300" w:lineRule="exact"/>
              <w:jc w:val="center"/>
              <w:rPr>
                <w:rFonts w:ascii="宋体" w:hAnsi="宋体" w:cs="宋体"/>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划转</w:t>
            </w:r>
          </w:p>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职责划转给周口市不动产登记中心</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1488" w:type="dxa"/>
            <w:gridSpan w:val="2"/>
            <w:vAlign w:val="center"/>
          </w:tcPr>
          <w:p>
            <w:pPr>
              <w:widowControl/>
              <w:spacing w:line="30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trHeight w:val="191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25</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r>
              <w:rPr>
                <w:rFonts w:hint="eastAsia" w:ascii="宋体" w:hAnsi="宋体" w:cs="宋体"/>
                <w:szCs w:val="21"/>
              </w:rPr>
              <w:t>负责对县市房屋权属档案管理的业务指导和培训工作</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其它职权</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r>
              <w:rPr>
                <w:rFonts w:hint="eastAsia" w:ascii="宋体" w:hAnsi="宋体"/>
                <w:szCs w:val="21"/>
              </w:rPr>
              <w:t>《城市房地产权属档案管理办法》（建设部令第101号）第四条</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划转</w:t>
            </w:r>
          </w:p>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职责划转给周口市不动产登记中心</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p>
        </w:tc>
        <w:tc>
          <w:tcPr>
            <w:tcW w:w="1488" w:type="dxa"/>
            <w:gridSpan w:val="2"/>
            <w:vAlign w:val="center"/>
          </w:tcPr>
          <w:p>
            <w:pPr>
              <w:widowControl/>
              <w:spacing w:line="30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2176"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26</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lang w:bidi="ar"/>
              </w:rPr>
            </w:pPr>
            <w:r>
              <w:rPr>
                <w:rFonts w:ascii="宋体" w:hAnsi="宋体" w:cs="仿宋"/>
                <w:color w:val="000000"/>
                <w:kern w:val="0"/>
                <w:szCs w:val="21"/>
                <w:lang w:bidi="ar"/>
              </w:rPr>
              <w:t>建设工程造价员的执业资格进行管理和监督</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行政检查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仿宋"/>
                <w:color w:val="000000"/>
                <w:kern w:val="0"/>
                <w:szCs w:val="21"/>
                <w:lang w:bidi="ar"/>
              </w:rPr>
            </w:pPr>
            <w:r>
              <w:rPr>
                <w:rFonts w:ascii="宋体" w:hAnsi="宋体" w:cs="仿宋"/>
                <w:color w:val="000000"/>
                <w:kern w:val="0"/>
                <w:szCs w:val="21"/>
                <w:lang w:bidi="ar"/>
              </w:rPr>
              <w:t>《全国建设工程造价员管理办法》（中价协〔2011〕021号）第四条</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仿宋"/>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lang w:bidi="ar"/>
              </w:rPr>
            </w:pPr>
          </w:p>
        </w:tc>
        <w:tc>
          <w:tcPr>
            <w:tcW w:w="167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color w:val="000000"/>
                <w:kern w:val="0"/>
                <w:szCs w:val="21"/>
                <w:lang w:bidi="ar"/>
              </w:rPr>
            </w:pPr>
            <w:r>
              <w:rPr>
                <w:rFonts w:hint="eastAsia" w:ascii="宋体" w:hAnsi="宋体" w:cs="宋体"/>
                <w:color w:val="000000"/>
                <w:kern w:val="0"/>
                <w:szCs w:val="21"/>
                <w:lang w:bidi="ar"/>
              </w:rPr>
              <w:t>国务院关于取消一批执业资格许可和认定事项的决定国发【2016】5号第15条规定。</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454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27</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p>
            <w:pPr>
              <w:jc w:val="center"/>
              <w:rPr>
                <w:rFonts w:ascii="宋体" w:hAnsi="宋体"/>
                <w:szCs w:val="21"/>
              </w:rPr>
            </w:pPr>
            <w:r>
              <w:rPr>
                <w:rFonts w:hint="eastAsia" w:ascii="宋体" w:hAnsi="宋体"/>
                <w:szCs w:val="21"/>
              </w:rPr>
              <w:t>房地产抵押监证</w:t>
            </w:r>
          </w:p>
          <w:p>
            <w:pPr>
              <w:jc w:val="center"/>
              <w:rPr>
                <w:rFonts w:ascii="宋体" w:hAnsi="宋体"/>
                <w:szCs w:val="21"/>
              </w:rPr>
            </w:pPr>
          </w:p>
        </w:tc>
        <w:tc>
          <w:tcPr>
            <w:tcW w:w="1320" w:type="dxa"/>
            <w:tcBorders>
              <w:top w:val="single" w:color="auto" w:sz="4" w:space="0"/>
              <w:left w:val="single" w:color="auto" w:sz="4" w:space="0"/>
              <w:bottom w:val="single" w:color="auto" w:sz="4" w:space="0"/>
              <w:right w:val="single" w:color="auto" w:sz="4" w:space="0"/>
            </w:tcBorders>
          </w:tcPr>
          <w:p>
            <w:pPr>
              <w:jc w:val="center"/>
              <w:rPr>
                <w:rFonts w:ascii="宋体" w:hAnsi="宋体"/>
                <w:szCs w:val="21"/>
              </w:rPr>
            </w:pPr>
          </w:p>
          <w:p>
            <w:pPr>
              <w:jc w:val="center"/>
              <w:rPr>
                <w:rFonts w:ascii="宋体" w:hAnsi="宋体"/>
                <w:szCs w:val="21"/>
              </w:rPr>
            </w:pPr>
          </w:p>
          <w:p>
            <w:pPr>
              <w:jc w:val="center"/>
              <w:rPr>
                <w:rFonts w:ascii="宋体" w:hAnsi="宋体"/>
                <w:szCs w:val="21"/>
              </w:rPr>
            </w:pPr>
          </w:p>
          <w:p>
            <w:pPr>
              <w:jc w:val="center"/>
              <w:rPr>
                <w:rFonts w:ascii="宋体" w:hAnsi="宋体"/>
                <w:szCs w:val="21"/>
              </w:rPr>
            </w:pPr>
          </w:p>
          <w:p>
            <w:pPr>
              <w:jc w:val="center"/>
              <w:rPr>
                <w:rFonts w:ascii="宋体" w:hAnsi="宋体"/>
                <w:szCs w:val="21"/>
              </w:rPr>
            </w:pPr>
            <w:r>
              <w:rPr>
                <w:rFonts w:hint="eastAsia" w:ascii="宋体" w:hAnsi="宋体"/>
                <w:szCs w:val="21"/>
              </w:rPr>
              <w:t>行政确认</w:t>
            </w:r>
          </w:p>
        </w:tc>
        <w:tc>
          <w:tcPr>
            <w:tcW w:w="1320" w:type="dxa"/>
            <w:tcBorders>
              <w:top w:val="single" w:color="auto" w:sz="4" w:space="0"/>
              <w:left w:val="single" w:color="auto" w:sz="4" w:space="0"/>
              <w:bottom w:val="single" w:color="auto" w:sz="4" w:space="0"/>
              <w:right w:val="single" w:color="auto" w:sz="4" w:space="0"/>
            </w:tcBorders>
          </w:tcPr>
          <w:p>
            <w:pPr>
              <w:spacing w:line="180" w:lineRule="exact"/>
              <w:jc w:val="center"/>
              <w:rPr>
                <w:rFonts w:ascii="宋体" w:hAnsi="宋体"/>
                <w:sz w:val="16"/>
                <w:szCs w:val="16"/>
              </w:rPr>
            </w:pPr>
            <w:r>
              <w:rPr>
                <w:rFonts w:hint="eastAsia" w:ascii="宋体" w:hAnsi="宋体"/>
                <w:sz w:val="16"/>
                <w:szCs w:val="16"/>
              </w:rPr>
              <w:t>《城市房地产抵押管理办法》（建设部令第98号）</w:t>
            </w:r>
          </w:p>
          <w:p>
            <w:pPr>
              <w:spacing w:line="180" w:lineRule="exact"/>
              <w:jc w:val="center"/>
              <w:rPr>
                <w:rFonts w:ascii="宋体" w:hAnsi="宋体"/>
                <w:sz w:val="16"/>
                <w:szCs w:val="16"/>
              </w:rPr>
            </w:pPr>
            <w:r>
              <w:rPr>
                <w:rFonts w:hint="eastAsia" w:ascii="宋体" w:hAnsi="宋体"/>
                <w:sz w:val="16"/>
                <w:szCs w:val="16"/>
              </w:rPr>
              <w:t>第七条：“国务院建设行政主管部门归口管理全国城市房地产抵押管理工作。</w:t>
            </w:r>
          </w:p>
          <w:p>
            <w:pPr>
              <w:spacing w:line="180" w:lineRule="exact"/>
              <w:jc w:val="center"/>
              <w:rPr>
                <w:rFonts w:ascii="宋体" w:hAnsi="宋体"/>
                <w:sz w:val="16"/>
                <w:szCs w:val="16"/>
              </w:rPr>
            </w:pPr>
            <w:r>
              <w:rPr>
                <w:rFonts w:hint="eastAsia" w:ascii="宋体" w:hAnsi="宋体"/>
                <w:sz w:val="16"/>
                <w:szCs w:val="16"/>
              </w:rPr>
              <w:t>河南省城市房地产开发经营管理条例》（河南省人民代表大会常务委员会公告第36号）</w:t>
            </w:r>
          </w:p>
          <w:p>
            <w:pPr>
              <w:spacing w:line="180" w:lineRule="exact"/>
              <w:jc w:val="center"/>
              <w:rPr>
                <w:rFonts w:ascii="宋体" w:hAnsi="宋体"/>
                <w:sz w:val="16"/>
                <w:szCs w:val="16"/>
              </w:rPr>
            </w:pPr>
            <w:r>
              <w:rPr>
                <w:rFonts w:hint="eastAsia" w:ascii="宋体" w:hAnsi="宋体"/>
                <w:sz w:val="16"/>
                <w:szCs w:val="16"/>
              </w:rPr>
              <w:t>第二十八条：“房地产开发企业将商品房设置抵押的，应当到当地房地产管理部门进行登记。</w:t>
            </w:r>
          </w:p>
        </w:tc>
        <w:tc>
          <w:tcPr>
            <w:tcW w:w="1320" w:type="dxa"/>
            <w:tcBorders>
              <w:top w:val="single" w:color="auto" w:sz="4" w:space="0"/>
              <w:left w:val="single" w:color="auto" w:sz="4" w:space="0"/>
              <w:bottom w:val="single" w:color="auto" w:sz="4" w:space="0"/>
              <w:right w:val="single" w:color="auto" w:sz="4" w:space="0"/>
            </w:tcBorders>
          </w:tcPr>
          <w:p>
            <w:pPr>
              <w:jc w:val="center"/>
              <w:rPr>
                <w:rFonts w:ascii="宋体" w:hAnsi="宋体"/>
                <w:szCs w:val="21"/>
              </w:rPr>
            </w:pPr>
          </w:p>
          <w:p>
            <w:pPr>
              <w:jc w:val="center"/>
              <w:rPr>
                <w:rFonts w:ascii="宋体" w:hAnsi="宋体"/>
                <w:szCs w:val="21"/>
              </w:rPr>
            </w:pPr>
          </w:p>
          <w:p>
            <w:pPr>
              <w:jc w:val="center"/>
              <w:rPr>
                <w:rFonts w:ascii="宋体" w:hAnsi="宋体"/>
                <w:szCs w:val="21"/>
              </w:rPr>
            </w:pPr>
          </w:p>
          <w:p>
            <w:pPr>
              <w:jc w:val="center"/>
              <w:rPr>
                <w:rFonts w:ascii="宋体" w:hAnsi="宋体"/>
                <w:szCs w:val="21"/>
              </w:rPr>
            </w:pPr>
          </w:p>
          <w:p>
            <w:pPr>
              <w:jc w:val="center"/>
              <w:rPr>
                <w:rFonts w:ascii="宋体" w:hAnsi="宋体"/>
                <w:szCs w:val="21"/>
              </w:rPr>
            </w:pPr>
            <w:r>
              <w:rPr>
                <w:rFonts w:hint="eastAsia" w:ascii="宋体" w:hAnsi="宋体"/>
                <w:szCs w:val="21"/>
              </w:rPr>
              <w:t>房地产抵押监证</w:t>
            </w:r>
          </w:p>
        </w:tc>
        <w:tc>
          <w:tcPr>
            <w:tcW w:w="1320" w:type="dxa"/>
            <w:tcBorders>
              <w:top w:val="single" w:color="auto" w:sz="4" w:space="0"/>
              <w:left w:val="single" w:color="auto" w:sz="4" w:space="0"/>
              <w:bottom w:val="single" w:color="auto" w:sz="4" w:space="0"/>
              <w:right w:val="single" w:color="auto" w:sz="4" w:space="0"/>
            </w:tcBorders>
          </w:tcPr>
          <w:p>
            <w:pPr>
              <w:jc w:val="center"/>
              <w:rPr>
                <w:rFonts w:ascii="宋体" w:hAnsi="宋体"/>
                <w:szCs w:val="21"/>
              </w:rPr>
            </w:pPr>
          </w:p>
          <w:p>
            <w:pPr>
              <w:jc w:val="center"/>
              <w:rPr>
                <w:rFonts w:ascii="宋体" w:hAnsi="宋体"/>
                <w:szCs w:val="21"/>
              </w:rPr>
            </w:pPr>
          </w:p>
          <w:p>
            <w:pPr>
              <w:jc w:val="center"/>
              <w:rPr>
                <w:rFonts w:ascii="宋体" w:hAnsi="宋体"/>
                <w:szCs w:val="21"/>
              </w:rPr>
            </w:pPr>
          </w:p>
          <w:p>
            <w:pPr>
              <w:jc w:val="center"/>
              <w:rPr>
                <w:rFonts w:ascii="宋体" w:hAnsi="宋体"/>
                <w:szCs w:val="21"/>
              </w:rPr>
            </w:pPr>
          </w:p>
          <w:p>
            <w:pPr>
              <w:jc w:val="center"/>
              <w:rPr>
                <w:rFonts w:ascii="宋体" w:hAnsi="宋体"/>
                <w:szCs w:val="21"/>
              </w:rPr>
            </w:pPr>
            <w:r>
              <w:rPr>
                <w:rFonts w:hint="eastAsia" w:ascii="宋体" w:hAnsi="宋体"/>
                <w:szCs w:val="21"/>
              </w:rPr>
              <w:t>行政 确认</w:t>
            </w:r>
          </w:p>
        </w:tc>
        <w:tc>
          <w:tcPr>
            <w:tcW w:w="2400" w:type="dxa"/>
            <w:tcBorders>
              <w:top w:val="single" w:color="auto" w:sz="4" w:space="0"/>
              <w:left w:val="single" w:color="auto" w:sz="4" w:space="0"/>
              <w:bottom w:val="single" w:color="auto" w:sz="4" w:space="0"/>
              <w:right w:val="single" w:color="auto" w:sz="4" w:space="0"/>
            </w:tcBorders>
          </w:tcPr>
          <w:p>
            <w:pPr>
              <w:spacing w:line="240" w:lineRule="exact"/>
              <w:jc w:val="center"/>
              <w:rPr>
                <w:rFonts w:ascii="宋体" w:hAnsi="宋体"/>
                <w:sz w:val="16"/>
                <w:szCs w:val="16"/>
              </w:rPr>
            </w:pPr>
            <w:r>
              <w:rPr>
                <w:rFonts w:hint="eastAsia" w:ascii="宋体" w:hAnsi="宋体"/>
                <w:sz w:val="16"/>
                <w:szCs w:val="16"/>
              </w:rPr>
              <w:t>《城市房地产抵押管理办法》（建设部令第98号）</w:t>
            </w:r>
          </w:p>
          <w:p>
            <w:pPr>
              <w:spacing w:line="240" w:lineRule="exact"/>
              <w:jc w:val="center"/>
              <w:rPr>
                <w:rFonts w:ascii="宋体" w:hAnsi="宋体"/>
                <w:sz w:val="16"/>
                <w:szCs w:val="16"/>
              </w:rPr>
            </w:pPr>
            <w:r>
              <w:rPr>
                <w:rFonts w:hint="eastAsia" w:ascii="宋体" w:hAnsi="宋体"/>
                <w:sz w:val="16"/>
                <w:szCs w:val="16"/>
              </w:rPr>
              <w:t>第七条：“国务院建设行政主管部门归口管理全国城市房地产抵押管理工作。</w:t>
            </w:r>
          </w:p>
          <w:p>
            <w:pPr>
              <w:spacing w:line="240" w:lineRule="exact"/>
              <w:jc w:val="center"/>
              <w:rPr>
                <w:rFonts w:ascii="宋体" w:hAnsi="宋体"/>
                <w:sz w:val="16"/>
                <w:szCs w:val="16"/>
              </w:rPr>
            </w:pPr>
            <w:r>
              <w:rPr>
                <w:rFonts w:hint="eastAsia" w:ascii="宋体" w:hAnsi="宋体"/>
                <w:sz w:val="16"/>
                <w:szCs w:val="16"/>
              </w:rPr>
              <w:t>河南省城市房地产开发经营管理条例》（河南省人民代表大会常务委员会公告第36号）</w:t>
            </w:r>
          </w:p>
          <w:p>
            <w:pPr>
              <w:spacing w:line="240" w:lineRule="exact"/>
              <w:jc w:val="center"/>
              <w:rPr>
                <w:rFonts w:ascii="宋体" w:hAnsi="宋体"/>
                <w:sz w:val="16"/>
                <w:szCs w:val="16"/>
              </w:rPr>
            </w:pPr>
            <w:r>
              <w:rPr>
                <w:rFonts w:hint="eastAsia" w:ascii="宋体" w:hAnsi="宋体"/>
                <w:sz w:val="16"/>
                <w:szCs w:val="16"/>
              </w:rPr>
              <w:t>第二十八条：“房地产开发企业将商品房设置抵押的，应当到当地房地产管理部门进行登记。</w:t>
            </w:r>
          </w:p>
        </w:tc>
        <w:tc>
          <w:tcPr>
            <w:tcW w:w="1676" w:type="dxa"/>
            <w:tcBorders>
              <w:top w:val="single" w:color="auto" w:sz="4" w:space="0"/>
              <w:left w:val="single" w:color="auto" w:sz="4" w:space="0"/>
              <w:bottom w:val="single" w:color="auto" w:sz="4" w:space="0"/>
              <w:right w:val="single" w:color="auto" w:sz="4" w:space="0"/>
            </w:tcBorders>
          </w:tcPr>
          <w:p>
            <w:pPr>
              <w:jc w:val="center"/>
              <w:rPr>
                <w:rFonts w:ascii="宋体" w:hAnsi="宋体"/>
                <w:szCs w:val="21"/>
              </w:rPr>
            </w:pPr>
          </w:p>
          <w:p>
            <w:pPr>
              <w:jc w:val="center"/>
              <w:rPr>
                <w:rFonts w:ascii="宋体" w:hAnsi="宋体"/>
                <w:szCs w:val="21"/>
              </w:rPr>
            </w:pPr>
          </w:p>
          <w:p>
            <w:pPr>
              <w:jc w:val="center"/>
              <w:rPr>
                <w:rFonts w:ascii="宋体" w:hAnsi="宋体"/>
                <w:szCs w:val="21"/>
              </w:rPr>
            </w:pPr>
            <w:r>
              <w:rPr>
                <w:rFonts w:hint="eastAsia" w:ascii="宋体" w:hAnsi="宋体"/>
                <w:szCs w:val="21"/>
              </w:rPr>
              <w:t>取消</w:t>
            </w:r>
          </w:p>
          <w:p>
            <w:pPr>
              <w:jc w:val="center"/>
              <w:rPr>
                <w:rFonts w:ascii="宋体" w:hAnsi="宋体"/>
                <w:szCs w:val="21"/>
              </w:rPr>
            </w:pPr>
            <w:r>
              <w:rPr>
                <w:rFonts w:hint="eastAsia" w:ascii="宋体" w:hAnsi="宋体"/>
                <w:szCs w:val="21"/>
              </w:rPr>
              <w:t>房屋抵押手续费，保留业务。</w:t>
            </w:r>
          </w:p>
        </w:tc>
        <w:tc>
          <w:tcPr>
            <w:tcW w:w="1965" w:type="dxa"/>
            <w:tcBorders>
              <w:top w:val="single" w:color="auto" w:sz="4" w:space="0"/>
              <w:left w:val="single" w:color="auto" w:sz="4" w:space="0"/>
              <w:bottom w:val="single" w:color="auto" w:sz="4" w:space="0"/>
              <w:right w:val="single" w:color="auto" w:sz="4" w:space="0"/>
            </w:tcBorders>
          </w:tcPr>
          <w:p>
            <w:pPr>
              <w:jc w:val="center"/>
              <w:rPr>
                <w:rFonts w:ascii="宋体" w:hAnsi="宋体"/>
                <w:szCs w:val="21"/>
              </w:rPr>
            </w:pPr>
          </w:p>
          <w:p>
            <w:pPr>
              <w:jc w:val="center"/>
              <w:rPr>
                <w:rFonts w:ascii="宋体" w:hAnsi="宋体"/>
                <w:szCs w:val="21"/>
              </w:rPr>
            </w:pPr>
            <w:r>
              <w:rPr>
                <w:rFonts w:hint="eastAsia" w:ascii="宋体" w:hAnsi="宋体"/>
                <w:szCs w:val="21"/>
              </w:rPr>
              <w:t>根据豫发改收费【2016】1145号第四条：取消房屋抵押（典当）手续费、房屋租赁手续费</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8597"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28</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市级批准建筑装修装饰企业三级以上资质</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其他</w:t>
            </w:r>
          </w:p>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职权</w:t>
            </w:r>
          </w:p>
        </w:tc>
        <w:tc>
          <w:tcPr>
            <w:tcW w:w="1320" w:type="dxa"/>
            <w:tcBorders>
              <w:top w:val="single" w:color="auto" w:sz="4" w:space="0"/>
              <w:left w:val="single" w:color="auto" w:sz="4" w:space="0"/>
              <w:bottom w:val="single" w:color="auto" w:sz="4" w:space="0"/>
              <w:right w:val="single" w:color="auto" w:sz="4" w:space="0"/>
            </w:tcBorders>
          </w:tcPr>
          <w:p>
            <w:pPr>
              <w:widowControl/>
              <w:spacing w:line="150" w:lineRule="exact"/>
              <w:jc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河南省建筑装修装饰管理办法实施细则》（豫建〔2012〕101号）第四条“建筑装修装饰专业承包一级、二级、工程设计乙级、丙级、设计施工一体化二级、三级资质，应当向注册所在地建设行政主管部门提出申请，并按照规定报省建设行政主管部门审批。专业承包三级资质的许可，由市建设行政主管部门实施。”</w:t>
            </w:r>
          </w:p>
          <w:p>
            <w:pPr>
              <w:widowControl/>
              <w:spacing w:line="150" w:lineRule="exact"/>
              <w:jc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建筑业企业资质管理规定》（中华人民共和国住房和城乡建设部令第22号）第二条“在中华人民共和国境内申请建筑业企业资质，实施对建筑业企业资质监督管理，适用本规定。本规定所称建筑业企业，是指从事土木工程、建筑工程、线路管道设备安装工程、装修工程的新建、扩建、改建等活动的企业。”第十一条“下列建筑业企业资质许可，由企业工商注册所在地设区的市人民政府建设主管部门实施：（二）专业承包序列三级资质。”</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建筑装修装饰企业二级以上资质转报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其他职权</w:t>
            </w: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河南省建筑装修装饰管理办法实施细则》（豫建〔2012〕101号）第四条“建筑装修装饰专业承包一级、二级、工程设计乙级、丙级、设计施工一体化二级、三级资质，应当向注册所在地建设行政主管部门提出申请，并按照规定报省建设行政主管部门审批。专业承包三级资质的许可，由市建设行政主管部门实施。”</w:t>
            </w:r>
          </w:p>
          <w:p>
            <w:pPr>
              <w:widowControl/>
              <w:spacing w:line="240" w:lineRule="exact"/>
              <w:jc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建筑业企业资质管理规定》（中华人民共和国住房和城乡建设部令第22号）第二条“在中华人民共和国境内申请建筑业企业资质，实施对建筑业企业资质监督管理，适用本规定。本规定所称建筑业企业，是指从事土木工程、建筑工程、线路管道设备安装工程、装修工程的新建、扩建、改建等活动的企业。”</w:t>
            </w:r>
          </w:p>
          <w:p>
            <w:pPr>
              <w:widowControl/>
              <w:spacing w:line="240" w:lineRule="exact"/>
              <w:jc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《建筑业企业资质标准》（建市【2014】159号）第23条“建筑装修装饰工程专业承包资质标准：建筑装修装饰工程专业承包资质分为一级、二级。”</w:t>
            </w: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取消三级资质的办理</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《建筑业企业资质标准》（建市【2014】159号）第23条“建筑装修装饰工程专业承包资质标准：建筑装修装饰工程专业承包资质分为一级、二级。”</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29</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新型墙体材料专项基金征收</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行政</w:t>
            </w:r>
          </w:p>
          <w:p>
            <w:pPr>
              <w:widowControl/>
              <w:spacing w:line="540" w:lineRule="exact"/>
              <w:jc w:val="center"/>
              <w:rPr>
                <w:rFonts w:ascii="宋体" w:hAnsi="宋体"/>
                <w:szCs w:val="21"/>
              </w:rPr>
            </w:pPr>
            <w:r>
              <w:rPr>
                <w:rFonts w:hint="eastAsia" w:ascii="宋体" w:hAnsi="宋体" w:cs="宋体"/>
                <w:color w:val="000000"/>
                <w:kern w:val="0"/>
                <w:szCs w:val="21"/>
                <w:lang w:bidi="ar"/>
              </w:rPr>
              <w:t>征收</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Cs w:val="21"/>
                <w:lang w:bidi="ar"/>
              </w:rPr>
            </w:pPr>
            <w:r>
              <w:rPr>
                <w:rFonts w:hint="eastAsia" w:ascii="宋体" w:hAnsi="宋体" w:cs="宋体"/>
                <w:color w:val="000000"/>
                <w:kern w:val="0"/>
                <w:szCs w:val="21"/>
                <w:lang w:bidi="ar"/>
              </w:rPr>
              <w:t>《河南省新型墙体材料专项基金征收和使用管理实施细则》（豫财综〔2008〕98号）文件）第三条</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szCs w:val="21"/>
              </w:rPr>
            </w:pPr>
            <w:r>
              <w:rPr>
                <w:rFonts w:hint="eastAsia" w:ascii="宋体" w:hAnsi="宋体" w:cs="宋体"/>
                <w:color w:val="000000"/>
                <w:kern w:val="0"/>
                <w:szCs w:val="21"/>
                <w:lang w:bidi="ar"/>
              </w:rPr>
              <w:t>财政部关于取消、调整部分政府性基金有关政策的通知（财税【2017】18号）第一条：取消城府公用事业附加和新型墙体材料专项基金。以关年度欠缴或预缴的上述政府性基金，相关执收单位应当足额征收或及时清算，并按照财政部门规定的渠道全额上缴国库或多退少补。</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p>
        </w:tc>
      </w:tr>
      <w:tr>
        <w:tblPrEx>
          <w:tblCellMar>
            <w:top w:w="0" w:type="dxa"/>
            <w:left w:w="108" w:type="dxa"/>
            <w:bottom w:w="0" w:type="dxa"/>
            <w:right w:w="108" w:type="dxa"/>
          </w:tblCellMar>
        </w:tblPrEx>
        <w:trPr>
          <w:gridAfter w:val="2"/>
          <w:wAfter w:w="1488" w:type="dxa"/>
          <w:trHeight w:val="500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30</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城建档案技术咨询服务费</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行政征收</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依据《河南省发展和改革委员会关于转发&lt;国家发展改革委废止部分服务收费政策文件的通知&gt;的通知》【2015】638号，档案收费采取市场调节，协商收费。</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取消</w:t>
            </w:r>
          </w:p>
        </w:tc>
        <w:tc>
          <w:tcPr>
            <w:tcW w:w="1965" w:type="dxa"/>
            <w:tcBorders>
              <w:top w:val="single" w:color="auto" w:sz="4" w:space="0"/>
              <w:left w:val="single" w:color="auto" w:sz="4" w:space="0"/>
              <w:bottom w:val="single" w:color="auto" w:sz="4" w:space="0"/>
              <w:right w:val="single" w:color="auto" w:sz="4" w:space="0"/>
            </w:tcBorders>
          </w:tcPr>
          <w:p>
            <w:pPr>
              <w:spacing w:line="180" w:lineRule="exact"/>
              <w:jc w:val="center"/>
              <w:rPr>
                <w:rFonts w:ascii="宋体" w:hAnsi="宋体"/>
                <w:sz w:val="16"/>
                <w:szCs w:val="16"/>
              </w:rPr>
            </w:pPr>
            <w:r>
              <w:rPr>
                <w:rFonts w:hint="eastAsia" w:ascii="宋体" w:hAnsi="宋体"/>
                <w:sz w:val="16"/>
                <w:szCs w:val="16"/>
              </w:rPr>
              <w:t>依据档发【2013】3号文《国家档案局关于严格执行财政部、发展改革委关于取消利用档案收费规定的通知》中强调“对不按规定取消或免征相关收费的，按有关规定给予处罚，并追究责任人员的行政责任”。财综《2013》67号文《财政部发展改革委关于公布取消和免征一批行政事业性收费的通知》中附件1.28利用档案收费，列为取消的行政性收费项目。依据《审计署发布2016年第1号审计结果公告 聚焦四大问题》中关于简政放权方面已对河南省信阳、开封、三门峡的城建档案馆违规收取城建档案保管费进行了公布；鉴于以上问题自2017年1月1日起，已取消了城建档案技术咨询服务费。</w:t>
            </w:r>
          </w:p>
        </w:tc>
        <w:tc>
          <w:tcPr>
            <w:tcW w:w="826" w:type="dxa"/>
            <w:tcBorders>
              <w:top w:val="single" w:color="auto" w:sz="4" w:space="0"/>
              <w:left w:val="single" w:color="auto" w:sz="4" w:space="0"/>
              <w:bottom w:val="single" w:color="auto" w:sz="4" w:space="0"/>
              <w:right w:val="single" w:color="auto" w:sz="4" w:space="0"/>
            </w:tcBorders>
          </w:tcPr>
          <w:p>
            <w:pPr>
              <w:jc w:val="center"/>
              <w:rPr>
                <w:rFonts w:ascii="宋体" w:hAnsi="宋体"/>
                <w:szCs w:val="21"/>
              </w:rPr>
            </w:pPr>
          </w:p>
        </w:tc>
      </w:tr>
      <w:tr>
        <w:tblPrEx>
          <w:tblCellMar>
            <w:top w:w="0" w:type="dxa"/>
            <w:left w:w="108" w:type="dxa"/>
            <w:bottom w:w="0" w:type="dxa"/>
            <w:right w:w="108" w:type="dxa"/>
          </w:tblCellMar>
        </w:tblPrEx>
        <w:trPr>
          <w:gridAfter w:val="2"/>
          <w:wAfter w:w="1488" w:type="dxa"/>
          <w:trHeight w:val="4484"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31</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安全文明施工措施费</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行政征收</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依据《周口市建设工程安全文明施工措施费管理暂行办法》（周建【2011】33号），第五条</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ind w:firstLine="315" w:firstLineChars="150"/>
              <w:jc w:val="center"/>
              <w:rPr>
                <w:rFonts w:ascii="宋体" w:hAnsi="宋体"/>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ind w:firstLine="315" w:firstLineChars="150"/>
              <w:jc w:val="center"/>
              <w:rPr>
                <w:rFonts w:ascii="宋体" w:hAnsi="宋体"/>
                <w:szCs w:val="21"/>
              </w:rPr>
            </w:pPr>
            <w:r>
              <w:rPr>
                <w:rFonts w:hint="eastAsia" w:ascii="宋体" w:hAnsi="宋体"/>
                <w:szCs w:val="21"/>
              </w:rPr>
              <w:t>依据《周口市住房和城乡建设局会议纪要》（周建纪要【2016】1号），“为简化审批流程、提高办事效率，中心城区建设工程安全文明施工措施费今后不再作为办理施工手续的前置条件，原已缴纳的仍按原来的方式监管使用。”</w:t>
            </w:r>
          </w:p>
        </w:tc>
        <w:tc>
          <w:tcPr>
            <w:tcW w:w="826" w:type="dxa"/>
            <w:tcBorders>
              <w:top w:val="single" w:color="auto" w:sz="4" w:space="0"/>
              <w:left w:val="single" w:color="auto" w:sz="4" w:space="0"/>
              <w:bottom w:val="single" w:color="auto" w:sz="4" w:space="0"/>
              <w:right w:val="single" w:color="auto" w:sz="4" w:space="0"/>
            </w:tcBorders>
          </w:tcPr>
          <w:p>
            <w:pPr>
              <w:jc w:val="center"/>
              <w:rPr>
                <w:rFonts w:ascii="宋体" w:hAnsi="宋体"/>
                <w:szCs w:val="21"/>
              </w:rPr>
            </w:pPr>
          </w:p>
        </w:tc>
      </w:tr>
      <w:tr>
        <w:tblPrEx>
          <w:tblCellMar>
            <w:top w:w="0" w:type="dxa"/>
            <w:left w:w="108" w:type="dxa"/>
            <w:bottom w:w="0" w:type="dxa"/>
            <w:right w:w="108" w:type="dxa"/>
          </w:tblCellMar>
        </w:tblPrEx>
        <w:trPr>
          <w:gridAfter w:val="2"/>
          <w:wAfter w:w="1488" w:type="dxa"/>
          <w:trHeight w:val="407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32</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房地产</w:t>
            </w:r>
          </w:p>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估价机构</w:t>
            </w:r>
          </w:p>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资质受理转报</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其它职权</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国务院对确需保留的行政审批项目设定行政许可的决定》（国务院令第412号）</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167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住房和城乡建设部关于贯彻落实资产评估法规范房地产估价行业管理有关问题的通知 （建房[2016]275号）</w:t>
            </w: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402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33</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进周物业服务企业资质备案</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其它职权</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《河南省物业管理企业资质管理实施细则》(豫建住房〔2005〕45号)第14条：</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167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《国务院关于第三批取消中央指定地方实施行政许可事项的决定》（国发[2017</w:t>
            </w:r>
            <w:r>
              <w:rPr>
                <w:rFonts w:ascii="宋体" w:hAnsi="宋体" w:cs="宋体"/>
                <w:color w:val="000000"/>
                <w:kern w:val="0"/>
                <w:szCs w:val="21"/>
                <w:lang w:bidi="ar"/>
              </w:rPr>
              <w:t>]</w:t>
            </w:r>
            <w:r>
              <w:rPr>
                <w:rFonts w:hint="eastAsia" w:ascii="宋体" w:hAnsi="宋体" w:cs="宋体"/>
                <w:color w:val="000000"/>
                <w:kern w:val="0"/>
                <w:szCs w:val="21"/>
                <w:lang w:bidi="ar"/>
              </w:rPr>
              <w:t>7号）“取消物业服务企业二级以下资质认定”</w:t>
            </w: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455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34</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市政公用工程施工总承包企业资质升级、延续</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其它职权</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《建筑业企业资质管理规定》（中华人民共和国住房和城乡建设部令第22号）第十条</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167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河南省住房和城乡建设厅关于印发《河南省建筑业企业资质管理规定暨资质标准实施细则》的通知（豫建建[2015]49号）</w:t>
            </w: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458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35</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市政公用工程施工总承包安全生产许可证新申请受理转报</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其它职权</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《安全生产许可证条例》（国务院令第397号）第二条：“产许可证制度”</w:t>
            </w:r>
          </w:p>
          <w:p>
            <w:pPr>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167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《河南省住房和城乡建设厅关于改革建筑施工企业安全生产许可证审批管理工作的通知》豫建建[2015]65号：直接报送省级部门</w:t>
            </w: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387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36</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城市园林绿化企业资质延续升级、变更及动态考核的审理审批</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其他职权</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《城市绿化条例》第十六条</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167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住房城乡建设部办公厅关于做好取消城市园林绿化企业资质核准行政许可事项相关工作的通知</w:t>
            </w: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37</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pPr>
            <w:r>
              <w:rPr>
                <w:rFonts w:hint="eastAsia" w:ascii="宋体" w:hAnsi="宋体" w:cs="宋体"/>
                <w:color w:val="000000"/>
                <w:kern w:val="0"/>
                <w:szCs w:val="21"/>
                <w:lang w:bidi="ar"/>
              </w:rPr>
              <w:t>散装水泥专项基金征收</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行政</w:t>
            </w:r>
          </w:p>
          <w:p>
            <w:pPr>
              <w:widowControl/>
              <w:spacing w:line="540" w:lineRule="exact"/>
              <w:jc w:val="center"/>
            </w:pPr>
            <w:r>
              <w:rPr>
                <w:rFonts w:hint="eastAsia" w:ascii="宋体" w:hAnsi="宋体" w:cs="宋体"/>
                <w:color w:val="000000"/>
                <w:kern w:val="0"/>
                <w:szCs w:val="21"/>
                <w:lang w:bidi="ar"/>
              </w:rPr>
              <w:t>征收</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Cs w:val="21"/>
                <w:lang w:bidi="ar"/>
              </w:rPr>
            </w:pPr>
            <w:r>
              <w:rPr>
                <w:rFonts w:hint="eastAsia" w:ascii="宋体" w:hAnsi="宋体" w:cs="宋体"/>
                <w:color w:val="000000"/>
                <w:kern w:val="0"/>
                <w:szCs w:val="21"/>
                <w:lang w:bidi="ar"/>
              </w:rPr>
              <w:t>《河南省发展散装水泥管理规定》（省政府第121号令）第十七条第一款：“生产袋装水泥的生产企业和使用袋装水泥的单位，应当按照国家和本省有关规定缴纳散装水泥专项资金。”</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pP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pPr>
            <w:r>
              <w:rPr>
                <w:rFonts w:hint="eastAsia" w:ascii="宋体" w:hAnsi="宋体" w:cs="宋体"/>
                <w:color w:val="000000"/>
                <w:kern w:val="0"/>
                <w:szCs w:val="21"/>
                <w:lang w:bidi="ar"/>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cs="宋体"/>
                <w:color w:val="000000"/>
                <w:kern w:val="0"/>
                <w:szCs w:val="21"/>
                <w:lang w:bidi="ar"/>
              </w:rPr>
            </w:pPr>
            <w:r>
              <w:rPr>
                <w:rFonts w:hint="eastAsia" w:ascii="宋体" w:hAnsi="宋体" w:cs="宋体"/>
                <w:color w:val="000000"/>
                <w:kern w:val="0"/>
                <w:szCs w:val="21"/>
                <w:lang w:bidi="ar"/>
              </w:rPr>
              <w:t>财政部《关于取消、停征和整合部分政府性基金项目等有关问题的通知》（财税【2016】11号）第四条：将散装水泥专项资金并入新型墙体材料专项基金。停止向水泥生产企业征收散装水泥资金。</w:t>
            </w:r>
          </w:p>
          <w:p>
            <w:pPr>
              <w:widowControl/>
              <w:spacing w:line="240" w:lineRule="exact"/>
              <w:jc w:val="center"/>
            </w:pPr>
            <w:r>
              <w:rPr>
                <w:rFonts w:hint="eastAsia" w:ascii="宋体" w:hAnsi="宋体" w:cs="宋体"/>
                <w:color w:val="000000"/>
                <w:kern w:val="0"/>
                <w:szCs w:val="21"/>
                <w:lang w:bidi="ar"/>
              </w:rPr>
              <w:t>财政部关于取消、调整部分政府性基金有关政策的通知（财税【2017】18号）第一条：取消城府公用事业附加和新型墙体材料专项基金。以关年度欠缴或预缴的上述政府性基金，相关执收单位应当足额征收或及时清算，并按照财政部门规定的渠道全额上缴国库或多退少补。</w:t>
            </w: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2393"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38</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以欺骗、贿赂等不正当手段取得房地产估价机构资质的处罚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sz w:val="22"/>
                <w:szCs w:val="28"/>
              </w:rPr>
              <w:t>行政处罚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房地产估价机构管理办法</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2699"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39</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未取得房地产估价机构资质从事房地产估价活动或者超越资质等级承揽估价业务的处罚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sz w:val="22"/>
                <w:szCs w:val="28"/>
              </w:rPr>
              <w:t>行政处罚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房地产估价机构管理办法</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203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40</w:t>
            </w:r>
          </w:p>
        </w:tc>
        <w:tc>
          <w:tcPr>
            <w:tcW w:w="1320" w:type="dxa"/>
            <w:tcBorders>
              <w:top w:val="single" w:color="auto" w:sz="4" w:space="0"/>
              <w:left w:val="single" w:color="auto" w:sz="4" w:space="0"/>
              <w:bottom w:val="single" w:color="auto" w:sz="4" w:space="0"/>
              <w:right w:val="single" w:color="auto" w:sz="4" w:space="0"/>
            </w:tcBorders>
            <w:vAlign w:val="center"/>
          </w:tcPr>
          <w:p>
            <w:pPr>
              <w:pStyle w:val="2"/>
              <w:spacing w:line="360" w:lineRule="atLeast"/>
              <w:jc w:val="center"/>
              <w:rPr>
                <w:sz w:val="22"/>
                <w:szCs w:val="22"/>
              </w:rPr>
            </w:pPr>
            <w:r>
              <w:rPr>
                <w:rFonts w:hint="eastAsia"/>
                <w:sz w:val="22"/>
                <w:szCs w:val="22"/>
                <w:lang w:bidi="ar"/>
              </w:rPr>
              <w:t>房地产估价机构不及时办理资质证书变更手续的处罚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sz w:val="22"/>
                <w:szCs w:val="28"/>
              </w:rPr>
              <w:t>行政处罚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房地产估价机构管理办法</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1397"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41</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eastAsia="宋体" w:cs="宋体"/>
                <w:color w:val="222222"/>
                <w:sz w:val="22"/>
                <w:shd w:val="clear" w:color="auto" w:fill="FFFFFF"/>
              </w:rPr>
            </w:pPr>
            <w:r>
              <w:rPr>
                <w:rFonts w:hint="eastAsia" w:ascii="宋体" w:hAnsi="宋体" w:eastAsia="宋体" w:cs="宋体"/>
                <w:color w:val="222222"/>
                <w:sz w:val="22"/>
                <w:shd w:val="clear" w:color="auto" w:fill="FFFFFF"/>
              </w:rPr>
              <w:t>未取得资质证书从事物业管理的处罚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sz w:val="22"/>
                <w:szCs w:val="28"/>
              </w:rPr>
              <w:t>行政处罚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物业管理条例</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248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42</w:t>
            </w:r>
          </w:p>
        </w:tc>
        <w:tc>
          <w:tcPr>
            <w:tcW w:w="1320" w:type="dxa"/>
            <w:tcBorders>
              <w:top w:val="single" w:color="auto" w:sz="4" w:space="0"/>
              <w:left w:val="single" w:color="auto" w:sz="4" w:space="0"/>
              <w:bottom w:val="single" w:color="auto" w:sz="4" w:space="0"/>
              <w:right w:val="single" w:color="auto" w:sz="4" w:space="0"/>
            </w:tcBorders>
            <w:vAlign w:val="center"/>
          </w:tcPr>
          <w:p>
            <w:pPr>
              <w:pStyle w:val="2"/>
              <w:shd w:val="clear" w:color="auto" w:fill="FFFFFF"/>
              <w:spacing w:line="240" w:lineRule="exact"/>
              <w:ind w:right="300"/>
              <w:jc w:val="center"/>
              <w:rPr>
                <w:color w:val="222222"/>
                <w:sz w:val="20"/>
                <w:szCs w:val="20"/>
                <w:shd w:val="clear" w:color="auto" w:fill="FFFFFF"/>
              </w:rPr>
            </w:pPr>
            <w:r>
              <w:rPr>
                <w:rFonts w:hint="eastAsia"/>
                <w:color w:val="222222"/>
                <w:sz w:val="20"/>
                <w:szCs w:val="20"/>
                <w:shd w:val="clear" w:color="auto" w:fill="FFFFFF"/>
              </w:rPr>
              <w:t>物业服务企业聘用未取得物业管理职业资格证书的人员从事物业管理活动的处罚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sz w:val="22"/>
                <w:szCs w:val="28"/>
              </w:rPr>
              <w:t>行政处罚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kern w:val="0"/>
                <w:sz w:val="22"/>
                <w:lang w:bidi="ar"/>
              </w:rPr>
              <w:t>物业管理条例</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43</w:t>
            </w:r>
          </w:p>
        </w:tc>
        <w:tc>
          <w:tcPr>
            <w:tcW w:w="1320" w:type="dxa"/>
            <w:tcBorders>
              <w:top w:val="single" w:color="auto" w:sz="4" w:space="0"/>
              <w:left w:val="single" w:color="auto" w:sz="4" w:space="0"/>
              <w:bottom w:val="single" w:color="auto" w:sz="4" w:space="0"/>
              <w:right w:val="single" w:color="auto" w:sz="4" w:space="0"/>
            </w:tcBorders>
            <w:vAlign w:val="center"/>
          </w:tcPr>
          <w:p>
            <w:pPr>
              <w:pStyle w:val="2"/>
              <w:shd w:val="clear" w:color="auto" w:fill="FFFFFF"/>
              <w:spacing w:line="450" w:lineRule="atLeast"/>
              <w:ind w:right="300"/>
              <w:jc w:val="center"/>
              <w:rPr>
                <w:sz w:val="22"/>
                <w:szCs w:val="22"/>
              </w:rPr>
            </w:pPr>
            <w:r>
              <w:rPr>
                <w:rFonts w:hint="eastAsia"/>
                <w:color w:val="222222"/>
                <w:sz w:val="22"/>
                <w:szCs w:val="22"/>
                <w:shd w:val="clear" w:color="auto" w:fill="FFFFFF"/>
              </w:rPr>
              <w:t>物业服务企业超越资质等级承接物业管理业务的</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sz w:val="22"/>
                <w:szCs w:val="28"/>
              </w:rPr>
              <w:t>行政处罚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eastAsia="宋体" w:cs="宋体"/>
                <w:color w:val="222222"/>
                <w:sz w:val="22"/>
                <w:shd w:val="clear" w:color="auto" w:fill="FFFFFF"/>
              </w:rPr>
              <w:t>物业服务企业资质管理办法</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293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44</w:t>
            </w:r>
          </w:p>
        </w:tc>
        <w:tc>
          <w:tcPr>
            <w:tcW w:w="1320" w:type="dxa"/>
            <w:tcBorders>
              <w:top w:val="single" w:color="auto" w:sz="4" w:space="0"/>
              <w:left w:val="single" w:color="auto" w:sz="4" w:space="0"/>
              <w:bottom w:val="single" w:color="auto" w:sz="4" w:space="0"/>
              <w:right w:val="single" w:color="auto" w:sz="4" w:space="0"/>
            </w:tcBorders>
            <w:vAlign w:val="center"/>
          </w:tcPr>
          <w:p>
            <w:pPr>
              <w:pStyle w:val="2"/>
              <w:shd w:val="clear" w:color="auto" w:fill="FFFFFF"/>
              <w:spacing w:line="450" w:lineRule="atLeast"/>
              <w:ind w:right="300"/>
              <w:jc w:val="center"/>
              <w:rPr>
                <w:sz w:val="22"/>
                <w:szCs w:val="22"/>
              </w:rPr>
            </w:pPr>
            <w:r>
              <w:rPr>
                <w:rFonts w:hint="eastAsia"/>
                <w:color w:val="222222"/>
                <w:sz w:val="22"/>
                <w:szCs w:val="22"/>
                <w:shd w:val="clear" w:color="auto" w:fill="FFFFFF"/>
              </w:rPr>
              <w:t>物业服务企业出租、出借、转让资质证书的</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sz w:val="22"/>
                <w:szCs w:val="28"/>
              </w:rPr>
              <w:t>行政处罚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eastAsia="宋体" w:cs="宋体"/>
                <w:color w:val="222222"/>
                <w:sz w:val="22"/>
                <w:shd w:val="clear" w:color="auto" w:fill="FFFFFF"/>
              </w:rPr>
              <w:t>物业服务企业资质管理办法</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2576"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45</w:t>
            </w:r>
          </w:p>
        </w:tc>
        <w:tc>
          <w:tcPr>
            <w:tcW w:w="1320" w:type="dxa"/>
            <w:tcBorders>
              <w:top w:val="single" w:color="auto" w:sz="4" w:space="0"/>
              <w:left w:val="single" w:color="auto" w:sz="4" w:space="0"/>
              <w:bottom w:val="single" w:color="auto" w:sz="4" w:space="0"/>
              <w:right w:val="single" w:color="auto" w:sz="4" w:space="0"/>
            </w:tcBorders>
            <w:vAlign w:val="center"/>
          </w:tcPr>
          <w:p>
            <w:pPr>
              <w:pStyle w:val="2"/>
              <w:shd w:val="clear" w:color="auto" w:fill="FFFFFF"/>
              <w:spacing w:line="240" w:lineRule="exact"/>
              <w:ind w:right="300"/>
              <w:jc w:val="center"/>
              <w:rPr>
                <w:color w:val="222222"/>
                <w:sz w:val="18"/>
                <w:szCs w:val="18"/>
                <w:shd w:val="clear" w:color="auto" w:fill="FFFFFF"/>
              </w:rPr>
            </w:pPr>
            <w:r>
              <w:rPr>
                <w:rFonts w:hint="eastAsia"/>
                <w:color w:val="222222"/>
                <w:sz w:val="18"/>
                <w:szCs w:val="18"/>
                <w:shd w:val="clear" w:color="auto" w:fill="FFFFFF"/>
              </w:rPr>
              <w:t>物业服务企业不按照本办法规定及时办理资质变更手续的</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cs="宋体"/>
                <w:sz w:val="22"/>
                <w:szCs w:val="28"/>
              </w:rPr>
              <w:t>行政处罚</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r>
              <w:rPr>
                <w:rFonts w:hint="eastAsia" w:ascii="宋体" w:hAnsi="宋体" w:eastAsia="宋体" w:cs="宋体"/>
                <w:color w:val="222222"/>
                <w:sz w:val="22"/>
                <w:shd w:val="clear" w:color="auto" w:fill="FFFFFF"/>
              </w:rPr>
              <w:t>物业服务企业资质管理办法</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kern w:val="0"/>
                <w:sz w:val="22"/>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 w:val="22"/>
                <w:szCs w:val="28"/>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sz w:val="22"/>
                <w:szCs w:val="28"/>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pPr>
            <w:r>
              <w:rPr>
                <w:rFonts w:hint="eastAsia"/>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c>
          <w:tcPr>
            <w:tcW w:w="826" w:type="dxa"/>
            <w:tcBorders>
              <w:top w:val="single" w:color="auto" w:sz="4" w:space="0"/>
              <w:left w:val="single" w:color="auto" w:sz="4" w:space="0"/>
              <w:bottom w:val="single" w:color="auto" w:sz="4" w:space="0"/>
              <w:right w:val="single" w:color="auto" w:sz="4" w:space="0"/>
            </w:tcBorders>
            <w:vAlign w:val="center"/>
          </w:tcPr>
          <w:p>
            <w:pPr>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46</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建设工程质量检测机构资质受理转报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其它职权</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《建设工程质量检测管理办法》（建设部令第141号）</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建设工程质量检测机构资质受理转报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其它职权</w:t>
            </w: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《建设工程质量检测管理办法》（建设部令第141号）</w:t>
            </w: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职权上调</w:t>
            </w:r>
          </w:p>
        </w:tc>
        <w:tc>
          <w:tcPr>
            <w:tcW w:w="1965" w:type="dxa"/>
            <w:tcBorders>
              <w:top w:val="single" w:color="auto" w:sz="4" w:space="0"/>
              <w:left w:val="single" w:color="auto" w:sz="4" w:space="0"/>
              <w:bottom w:val="single" w:color="auto" w:sz="4" w:space="0"/>
              <w:right w:val="single" w:color="auto" w:sz="4" w:space="0"/>
            </w:tcBorders>
            <w:vAlign w:val="center"/>
          </w:tcPr>
          <w:p>
            <w:pPr>
              <w:pStyle w:val="2"/>
              <w:spacing w:before="0" w:beforeAutospacing="0" w:after="0" w:afterAutospacing="0" w:line="495" w:lineRule="atLeast"/>
              <w:jc w:val="center"/>
              <w:rPr>
                <w:b/>
                <w:color w:val="545454"/>
                <w:sz w:val="21"/>
                <w:szCs w:val="21"/>
              </w:rPr>
            </w:pPr>
            <w:r>
              <w:rPr>
                <w:rStyle w:val="5"/>
                <w:rFonts w:hint="eastAsia"/>
                <w:b w:val="0"/>
                <w:color w:val="545454"/>
                <w:sz w:val="21"/>
                <w:szCs w:val="21"/>
              </w:rPr>
              <w:t>《河南省住房和城乡建设厅关于印发河南省建设工程质量检测管理办法的通知》</w:t>
            </w:r>
            <w:r>
              <w:rPr>
                <w:rFonts w:hint="eastAsia"/>
                <w:b/>
                <w:color w:val="545454"/>
                <w:sz w:val="21"/>
                <w:szCs w:val="21"/>
              </w:rPr>
              <w:t>（豫建〔2016〕127号）</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560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Times New Roman"/>
                <w:szCs w:val="21"/>
              </w:rPr>
            </w:pPr>
            <w:r>
              <w:rPr>
                <w:rFonts w:hint="eastAsia" w:ascii="宋体" w:hAnsi="宋体" w:cs="Times New Roman"/>
                <w:szCs w:val="21"/>
              </w:rPr>
              <w:t>47</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cs="宋体"/>
                <w:color w:val="000000"/>
                <w:kern w:val="0"/>
                <w:szCs w:val="21"/>
                <w:lang w:bidi="ar"/>
              </w:rPr>
              <w:t>商品房预售许可证</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szCs w:val="21"/>
              </w:rPr>
              <w:t>行政许可</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sz w:val="16"/>
                <w:szCs w:val="16"/>
              </w:rPr>
            </w:pPr>
            <w:r>
              <w:rPr>
                <w:rFonts w:hint="eastAsia" w:ascii="宋体" w:hAnsi="宋体"/>
                <w:sz w:val="16"/>
                <w:szCs w:val="16"/>
              </w:rPr>
              <w:t>1、《中华人民共和国城市房地产管理法》(中华人民共和国主席令第２９号2、《城市商品房预售管理办法》(建设部第131号令第131号,自2004年7月20日起施行)；3、《河南省城市房地产开发经营管理条例》，（2002年5月31日河南省第九届人民代表大会常务委员会第二十八次会议通过,自2002年10月1日起施行）。</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szCs w:val="21"/>
              </w:rPr>
              <w:t>商品房预售许可证</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szCs w:val="21"/>
              </w:rPr>
            </w:pPr>
            <w:r>
              <w:rPr>
                <w:rFonts w:hint="eastAsia" w:ascii="宋体" w:hAnsi="宋体"/>
                <w:szCs w:val="21"/>
              </w:rPr>
              <w:t>行政许可</w:t>
            </w: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sz w:val="16"/>
                <w:szCs w:val="16"/>
              </w:rPr>
            </w:pPr>
            <w:r>
              <w:rPr>
                <w:rFonts w:hint="eastAsia" w:ascii="宋体" w:hAnsi="宋体"/>
                <w:sz w:val="16"/>
                <w:szCs w:val="16"/>
              </w:rPr>
              <w:t>1、《中华人民共和国城市房地产管理法》(中华人民共和国主席令第２９号,自1995年1月1日起施行);2、《城市商品房预售管理办法》(建设部第131号令第131号,自2004年7月20日起施行)；3、《河南省城市房地产开发经营管理条例》，（2002年5月31日河南省第九届人民代表大会常务委员会第二十八次会议通过,自2002年10月1日起施行）。</w:t>
            </w: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sz w:val="16"/>
                <w:szCs w:val="16"/>
              </w:rPr>
            </w:pPr>
            <w:r>
              <w:rPr>
                <w:rFonts w:hint="eastAsia" w:ascii="宋体" w:hAnsi="宋体"/>
                <w:sz w:val="16"/>
                <w:szCs w:val="16"/>
              </w:rPr>
              <w:t>调整</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sz w:val="16"/>
                <w:szCs w:val="16"/>
              </w:rPr>
            </w:pPr>
            <w:r>
              <w:rPr>
                <w:rFonts w:hint="eastAsia" w:ascii="宋体" w:hAnsi="宋体"/>
                <w:sz w:val="16"/>
                <w:szCs w:val="16"/>
              </w:rPr>
              <w:t>《前期物业管理招标投标管理暂行办法》建住房[2003]130号             第十九条　通过招标投标方式选择物业管理企业的，招标人应当按照以下规定时限完成物业管理招标投标工作：（一）新建现售商品房项目应当在现售前30日完成；（二）预售商品房项目应当在取得《商品房预售许可证》之前完成；（三）非出售的新建物业项目应当在交付使用前90日完成。</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3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48</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szCs w:val="21"/>
              </w:rPr>
            </w:pPr>
            <w:r>
              <w:rPr>
                <w:rFonts w:hint="eastAsia" w:ascii="宋体" w:hAnsi="宋体"/>
                <w:bCs/>
                <w:szCs w:val="21"/>
              </w:rPr>
              <w:t>对建设工程质量的行为进行监督检查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rPr>
              <w:t>行政检查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sz w:val="16"/>
                <w:szCs w:val="16"/>
              </w:rPr>
            </w:pPr>
            <w:r>
              <w:rPr>
                <w:rFonts w:hint="eastAsia" w:ascii="宋体" w:hAnsi="宋体"/>
                <w:sz w:val="16"/>
                <w:szCs w:val="16"/>
              </w:rPr>
              <w:t>《建设工程质量管理条例》（国务院令第279号）第四十三条第一款；《房屋建筑和市政基础设施工程质量监督管理规定》（住房和城乡建设部令第5号）第五条</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bCs/>
                <w:szCs w:val="21"/>
              </w:rPr>
              <w:t>对建设工程质量的行为进行监督检查</w:t>
            </w: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rPr>
              <w:t>行政检查</w:t>
            </w: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仿宋" w:hAnsi="仿宋" w:eastAsia="仿宋"/>
                <w:sz w:val="24"/>
              </w:rPr>
              <w:t>《建设工程质量管理条例》（国务院令第279号）第四十三条第一款；《房屋建筑和市政基础设施工程质量监督管理规定》（住房和城乡建设部令第5号）第五条</w:t>
            </w:r>
          </w:p>
        </w:tc>
        <w:tc>
          <w:tcPr>
            <w:tcW w:w="167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宋体" w:hAnsi="宋体" w:cs="宋体"/>
                <w:color w:val="000000"/>
                <w:kern w:val="0"/>
                <w:szCs w:val="21"/>
                <w:lang w:bidi="ar"/>
              </w:rPr>
            </w:pPr>
            <w:r>
              <w:rPr>
                <w:rFonts w:hint="eastAsia" w:ascii="宋体" w:hAnsi="宋体" w:cs="宋体"/>
                <w:color w:val="000000"/>
                <w:kern w:val="0"/>
                <w:szCs w:val="21"/>
                <w:lang w:bidi="ar"/>
              </w:rPr>
              <w:t>调整</w:t>
            </w:r>
          </w:p>
        </w:tc>
        <w:tc>
          <w:tcPr>
            <w:tcW w:w="1965"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sz w:val="16"/>
                <w:szCs w:val="16"/>
              </w:rPr>
            </w:pPr>
            <w:r>
              <w:rPr>
                <w:rFonts w:hint="eastAsia" w:ascii="宋体" w:hAnsi="宋体"/>
                <w:sz w:val="16"/>
                <w:szCs w:val="16"/>
              </w:rPr>
              <w:t>增加前期物业招投标手续检查：依据《前期物业管理招投标管理暂行办法》第二章 招标 第十九条通过招投标方式选择物业管理企业的，招标人应当按照以下规定时限完成物业管理招标投标工作：(三)非出售的新建物业项目应当在交付使用前90日内完成。</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5510"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49</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szCs w:val="21"/>
              </w:rPr>
              <w:t>补贴型公共租赁住房退出认定</w:t>
            </w:r>
          </w:p>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szCs w:val="21"/>
              </w:rPr>
              <w:t>行政确认</w:t>
            </w:r>
          </w:p>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sz w:val="16"/>
                <w:szCs w:val="16"/>
              </w:rPr>
            </w:pPr>
            <w:r>
              <w:rPr>
                <w:rFonts w:hint="eastAsia" w:ascii="宋体" w:hAnsi="宋体"/>
                <w:sz w:val="16"/>
                <w:szCs w:val="16"/>
              </w:rPr>
              <w:t>《廉租住房保障办法》（建设部令162号）第二十四条：“建设（住房保障）主管部门应当根据城市低收入住房困难家庭人口、收入、住房等变化情况，调整租赁住房补贴额度或实物配租面积、租金等；对不再符合规定条件的，应当停止发放租赁住房补贴，或者由承租人按照合同约定退回廉租住房。”</w:t>
            </w:r>
          </w:p>
          <w:p>
            <w:pPr>
              <w:widowControl/>
              <w:spacing w:line="240" w:lineRule="exact"/>
              <w:jc w:val="center"/>
              <w:rPr>
                <w:rFonts w:ascii="宋体" w:hAnsi="宋体"/>
                <w:sz w:val="16"/>
                <w:szCs w:val="16"/>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szCs w:val="21"/>
              </w:rPr>
              <w:t>补贴型公共租赁住房退出认定</w:t>
            </w:r>
          </w:p>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szCs w:val="21"/>
              </w:rPr>
              <w:t>行政确认</w:t>
            </w:r>
          </w:p>
          <w:p>
            <w:pPr>
              <w:widowControl/>
              <w:spacing w:line="540" w:lineRule="exact"/>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sz w:val="16"/>
                <w:szCs w:val="16"/>
              </w:rPr>
            </w:pPr>
            <w:r>
              <w:rPr>
                <w:rFonts w:hint="eastAsia" w:ascii="宋体" w:hAnsi="宋体"/>
                <w:sz w:val="16"/>
                <w:szCs w:val="16"/>
              </w:rPr>
              <w:t>《廉租住房保障办法》（建设部令162号）第二十四条：“建设（住房保障）主管部门应当根据城市低收入住房困难家庭人口、收入、住房等变化情况，调整租赁住房补贴额度或实物配租面积、租金等；对不再符合规定条件的，应当停止发放租赁住房补贴，或者由承租人按照合同约定退回廉租住房。”</w:t>
            </w:r>
          </w:p>
          <w:p>
            <w:pPr>
              <w:widowControl/>
              <w:spacing w:line="240" w:lineRule="exact"/>
              <w:jc w:val="center"/>
              <w:rPr>
                <w:rFonts w:ascii="宋体" w:hAnsi="宋体"/>
                <w:sz w:val="16"/>
                <w:szCs w:val="16"/>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kern w:val="0"/>
                <w:szCs w:val="21"/>
                <w:lang w:bidi="ar"/>
              </w:rPr>
            </w:pPr>
            <w:r>
              <w:rPr>
                <w:rFonts w:hint="eastAsia" w:ascii="宋体" w:hAnsi="宋体"/>
                <w:szCs w:val="21"/>
              </w:rPr>
              <w:t>调整</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szCs w:val="21"/>
              </w:rPr>
              <w:t>按照权责该清单应由市保障中心行使,市公房处配合.</w:t>
            </w:r>
          </w:p>
          <w:p>
            <w:pPr>
              <w:widowControl/>
              <w:spacing w:line="540" w:lineRule="exact"/>
              <w:jc w:val="center"/>
              <w:rPr>
                <w:rFonts w:ascii="宋体" w:hAnsi="宋体" w:cs="宋体"/>
                <w:color w:val="000000"/>
                <w:kern w:val="0"/>
                <w:szCs w:val="21"/>
                <w:lang w:bidi="ar"/>
              </w:rPr>
            </w:pP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861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50</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szCs w:val="21"/>
              </w:rPr>
              <w:t>开发建设单位违反住宅专项维修资金使用的处罚</w:t>
            </w:r>
          </w:p>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szCs w:val="21"/>
              </w:rPr>
              <w:t>行政处罚</w:t>
            </w:r>
          </w:p>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widowControl/>
              <w:spacing w:line="180" w:lineRule="exact"/>
              <w:jc w:val="center"/>
              <w:rPr>
                <w:rFonts w:ascii="宋体" w:hAnsi="宋体"/>
                <w:sz w:val="14"/>
                <w:szCs w:val="14"/>
              </w:rPr>
            </w:pPr>
            <w:r>
              <w:rPr>
                <w:rFonts w:hint="eastAsia" w:ascii="宋体" w:hAnsi="宋体"/>
                <w:sz w:val="14"/>
                <w:szCs w:val="14"/>
              </w:rPr>
              <w:t>《住宅专项维修资金管理办法》第三十六条：“开发建设单位违反本办法第十三条规定将房屋交付买受人的，由县级以上地方人民政府建设（房地产）主管部门责令限期改正；逾期不改正的，处以3万元以下的罚款。开发建设单位未按本办法第二十一条规定分摊维修、更新和改造费用的，由县级以上地方人民政府建设（房地产）主管部门责令限期改正；逾期不改正的，处以1万元以下的罚款。”第十三条：“未按本办法规定交存首期住宅专项维修资金的，开发建设单位或者公有住房售房单位不得将房屋交付购买人。”第二十一条：“住宅共用部位、共用设施设备维修和更新、改造，涉及尚未售出的商品住宅、非住宅或者公有住房的，开发建设单位或者公有住房单位应当按照尚未售出商品住宅或者公有住房的建筑面积，分摊维修和更新、改造费用。”</w:t>
            </w:r>
          </w:p>
          <w:p>
            <w:pPr>
              <w:widowControl/>
              <w:spacing w:line="180" w:lineRule="exact"/>
              <w:jc w:val="center"/>
              <w:rPr>
                <w:rFonts w:ascii="宋体" w:hAnsi="宋体"/>
                <w:sz w:val="14"/>
                <w:szCs w:val="14"/>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szCs w:val="21"/>
              </w:rPr>
              <w:t>开发建设单位违反住宅专项维修资金使用的处罚</w:t>
            </w:r>
          </w:p>
          <w:p>
            <w:pPr>
              <w:widowControl/>
              <w:spacing w:line="540" w:lineRule="exact"/>
              <w:jc w:val="center"/>
              <w:rPr>
                <w:rFonts w:ascii="宋体" w:hAnsi="宋体" w:cs="宋体"/>
                <w:color w:val="000000"/>
                <w:kern w:val="0"/>
                <w:szCs w:val="21"/>
                <w:lang w:bidi="ar"/>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szCs w:val="21"/>
              </w:rPr>
              <w:t>行政处罚</w:t>
            </w:r>
          </w:p>
          <w:p>
            <w:pPr>
              <w:widowControl/>
              <w:spacing w:line="540" w:lineRule="exact"/>
              <w:jc w:val="center"/>
              <w:rPr>
                <w:rFonts w:ascii="宋体" w:hAnsi="宋体" w:cs="宋体"/>
                <w:color w:val="000000"/>
                <w:kern w:val="0"/>
                <w:szCs w:val="21"/>
                <w:lang w:bidi="ar"/>
              </w:rPr>
            </w:pPr>
          </w:p>
        </w:tc>
        <w:tc>
          <w:tcPr>
            <w:tcW w:w="2400"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sz w:val="16"/>
                <w:szCs w:val="16"/>
              </w:rPr>
            </w:pPr>
            <w:r>
              <w:rPr>
                <w:rFonts w:hint="eastAsia" w:ascii="宋体" w:hAnsi="宋体"/>
                <w:sz w:val="16"/>
                <w:szCs w:val="16"/>
              </w:rPr>
              <w:t>《住宅专项维修资金管理办法》第三十六条：“开发建设单位违反本办法第十三条规定将房屋交付买受人的，由县级以上地方人民政府建设（房地产）主管部门责令限期改正；逾期不改正的，处以3万元以下的罚款。开发建设单位未按本办法第二十一条规定分摊维修、更新和改造费用的，由县级以上地方人民政府建设（房地产）主管部门责令限期改正；逾期不改正的，处以1万元以下的罚款。”第十三条：“未按本办法规定交存首期住宅专项维修资金的，开发建设单位或者公有住房售房单位不得将房屋交付购买人。”第二十一条：“住宅共用部位、共用设施设备维修和更新、改造，涉及尚未售出的商品住宅、非住宅或者公有住房的，开发建设单位或者公有住房单位应当按照尚未售出商品住宅或者公有住房的建筑面积，分摊维修和更新、改造费用。”</w:t>
            </w:r>
          </w:p>
          <w:p>
            <w:pPr>
              <w:widowControl/>
              <w:spacing w:line="240" w:lineRule="exact"/>
              <w:jc w:val="center"/>
              <w:rPr>
                <w:rFonts w:ascii="宋体" w:hAnsi="宋体"/>
                <w:sz w:val="16"/>
                <w:szCs w:val="16"/>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kern w:val="0"/>
                <w:szCs w:val="21"/>
                <w:lang w:bidi="ar"/>
              </w:rPr>
            </w:pPr>
            <w:r>
              <w:rPr>
                <w:rFonts w:hint="eastAsia" w:ascii="宋体" w:hAnsi="宋体"/>
                <w:szCs w:val="21"/>
              </w:rPr>
              <w:t>调整</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szCs w:val="21"/>
              </w:rPr>
            </w:pPr>
            <w:r>
              <w:rPr>
                <w:rFonts w:hint="eastAsia" w:ascii="宋体" w:hAnsi="宋体"/>
                <w:szCs w:val="21"/>
              </w:rPr>
              <w:t>按照权责该清单应由市监察支队行使,市公房处配合.</w:t>
            </w:r>
          </w:p>
          <w:p>
            <w:pPr>
              <w:widowControl/>
              <w:spacing w:line="540" w:lineRule="exact"/>
              <w:jc w:val="center"/>
              <w:rPr>
                <w:rFonts w:ascii="宋体" w:hAnsi="宋体" w:cs="宋体"/>
                <w:color w:val="000000"/>
                <w:kern w:val="0"/>
                <w:szCs w:val="21"/>
                <w:lang w:bidi="ar"/>
              </w:rPr>
            </w:pP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51</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负责市房地产管理方面的各种信息的收集、整理及上报</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其他职权</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《房屋登记薄管理试行办法》（建住房[2008]84号第十五条</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单位名称变更</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52</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城市园林绿化企业三级资质</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其他职权</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szCs w:val="21"/>
              </w:rPr>
            </w:pPr>
            <w:r>
              <w:rPr>
                <w:rFonts w:hint="eastAsia" w:ascii="宋体" w:hAnsi="宋体"/>
                <w:szCs w:val="21"/>
              </w:rPr>
              <w:t>住房城乡建设部办公厅关于做好取消城市园林绿化企业资质核准行政许可事项相关工作的通知 建办城[2017]27号</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p>
          <w:p>
            <w:pPr>
              <w:widowControl/>
              <w:spacing w:line="540" w:lineRule="exact"/>
              <w:jc w:val="center"/>
              <w:rPr>
                <w:rFonts w:ascii="宋体" w:hAnsi="宋体" w:cs="宋体"/>
                <w:color w:val="000000"/>
                <w:kern w:val="0"/>
                <w:szCs w:val="21"/>
                <w:lang w:bidi="ar"/>
              </w:rPr>
            </w:pPr>
          </w:p>
          <w:p>
            <w:pPr>
              <w:widowControl/>
              <w:spacing w:line="540" w:lineRule="exact"/>
              <w:jc w:val="center"/>
              <w:rPr>
                <w:rFonts w:ascii="宋体" w:hAnsi="宋体" w:cs="宋体"/>
                <w:color w:val="000000"/>
                <w:kern w:val="0"/>
                <w:szCs w:val="21"/>
                <w:lang w:bidi="ar"/>
              </w:rPr>
            </w:pPr>
          </w:p>
          <w:p>
            <w:pPr>
              <w:widowControl/>
              <w:spacing w:line="540" w:lineRule="exact"/>
              <w:rPr>
                <w:rFonts w:ascii="宋体" w:hAnsi="宋体" w:cs="宋体"/>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53</w:t>
            </w:r>
          </w:p>
        </w:tc>
        <w:tc>
          <w:tcPr>
            <w:tcW w:w="1320" w:type="dxa"/>
            <w:tcBorders>
              <w:top w:val="single" w:color="auto" w:sz="4" w:space="0"/>
              <w:left w:val="single" w:color="auto" w:sz="4" w:space="0"/>
              <w:bottom w:val="single" w:color="auto" w:sz="4" w:space="0"/>
              <w:right w:val="single" w:color="auto" w:sz="4" w:space="0"/>
            </w:tcBorders>
            <w:vAlign w:val="center"/>
          </w:tcPr>
          <w:p>
            <w:pPr>
              <w:spacing w:line="560" w:lineRule="exact"/>
              <w:ind w:firstLine="420" w:firstLineChars="200"/>
              <w:jc w:val="center"/>
              <w:rPr>
                <w:rFonts w:cs="仿宋_GB2312" w:asciiTheme="minorEastAsia" w:hAnsiTheme="minorEastAsia"/>
                <w:szCs w:val="21"/>
              </w:rPr>
            </w:pPr>
            <w:r>
              <w:rPr>
                <w:rFonts w:hint="eastAsia" w:cs="仿宋_GB2312" w:asciiTheme="minorEastAsia" w:hAnsiTheme="minorEastAsia"/>
                <w:szCs w:val="21"/>
              </w:rPr>
              <w:t>房屋所有权登记</w:t>
            </w:r>
          </w:p>
          <w:p>
            <w:pPr>
              <w:jc w:val="center"/>
              <w:rPr>
                <w:rFonts w:asciiTheme="minorEastAsia" w:hAnsiTheme="minorEastAsia"/>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行政确认</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《房屋登记办法》（建设部令第168号）第二十条</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划转</w:t>
            </w:r>
          </w:p>
          <w:p>
            <w:pPr>
              <w:jc w:val="center"/>
              <w:rPr>
                <w:rFonts w:asciiTheme="minorEastAsia" w:hAnsiTheme="minorEastAsia"/>
                <w:szCs w:val="21"/>
              </w:rPr>
            </w:pPr>
            <w:r>
              <w:rPr>
                <w:rFonts w:hint="eastAsia" w:asciiTheme="minorEastAsia" w:hAnsiTheme="minorEastAsia"/>
                <w:szCs w:val="21"/>
              </w:rPr>
              <w:t>职责划转给周口市不动产登记中心</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cs="宋体" w:asciiTheme="minorEastAsia" w:hAnsiTheme="minorEastAsia"/>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54</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cs="仿宋_GB2312" w:asciiTheme="minorEastAsia" w:hAnsiTheme="minorEastAsia"/>
                <w:szCs w:val="21"/>
              </w:rPr>
              <w:t>抵押权登记</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行政确认</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《房屋登记办法》（建设部令第168号）第四十二条</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划转</w:t>
            </w:r>
          </w:p>
          <w:p>
            <w:pPr>
              <w:jc w:val="center"/>
              <w:rPr>
                <w:rFonts w:asciiTheme="minorEastAsia" w:hAnsiTheme="minorEastAsia"/>
                <w:szCs w:val="21"/>
              </w:rPr>
            </w:pPr>
            <w:r>
              <w:rPr>
                <w:rFonts w:hint="eastAsia" w:asciiTheme="minorEastAsia" w:hAnsiTheme="minorEastAsia"/>
                <w:szCs w:val="21"/>
              </w:rPr>
              <w:t>职责划转给周口市不动产登记中心</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cs="宋体" w:asciiTheme="minorEastAsia" w:hAnsiTheme="minorEastAsia"/>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55</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地役权登记</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行政确认</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《房屋登记办法》（建设部令第168号）第六十三条</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划转</w:t>
            </w:r>
          </w:p>
          <w:p>
            <w:pPr>
              <w:jc w:val="center"/>
              <w:rPr>
                <w:rFonts w:asciiTheme="minorEastAsia" w:hAnsiTheme="minorEastAsia"/>
                <w:szCs w:val="21"/>
              </w:rPr>
            </w:pPr>
            <w:r>
              <w:rPr>
                <w:rFonts w:hint="eastAsia" w:asciiTheme="minorEastAsia" w:hAnsiTheme="minorEastAsia"/>
                <w:szCs w:val="21"/>
              </w:rPr>
              <w:t>职责划转给周口市不动产登记中心</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cs="宋体" w:asciiTheme="minorEastAsia" w:hAnsiTheme="minorEastAsia"/>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56</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预告登记（预售商品房预告登记）</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行政确认</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《房屋登记办法》（建设部令第168号）第六十七条</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划转</w:t>
            </w:r>
          </w:p>
          <w:p>
            <w:pPr>
              <w:jc w:val="center"/>
              <w:rPr>
                <w:rFonts w:asciiTheme="minorEastAsia" w:hAnsiTheme="minorEastAsia"/>
                <w:szCs w:val="21"/>
              </w:rPr>
            </w:pPr>
            <w:r>
              <w:rPr>
                <w:rFonts w:hint="eastAsia" w:asciiTheme="minorEastAsia" w:hAnsiTheme="minorEastAsia"/>
                <w:szCs w:val="21"/>
              </w:rPr>
              <w:t>职责划转给周口市不动产登记中心</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cs="宋体" w:asciiTheme="minorEastAsia" w:hAnsiTheme="minorEastAsia"/>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57</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更正登记（其他登记）</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行政确认</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《房屋登记办法》（建设部令第168号）第七十四条</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划转</w:t>
            </w:r>
          </w:p>
          <w:p>
            <w:pPr>
              <w:jc w:val="center"/>
              <w:rPr>
                <w:rFonts w:asciiTheme="minorEastAsia" w:hAnsiTheme="minorEastAsia"/>
                <w:szCs w:val="21"/>
              </w:rPr>
            </w:pPr>
            <w:r>
              <w:rPr>
                <w:rFonts w:hint="eastAsia" w:asciiTheme="minorEastAsia" w:hAnsiTheme="minorEastAsia"/>
                <w:szCs w:val="21"/>
              </w:rPr>
              <w:t>职责划转给周口市不动产登记中心</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cs="宋体" w:asciiTheme="minorEastAsia" w:hAnsiTheme="minorEastAsia"/>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58</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异议登记（其他登记）</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行政确认</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《房屋登记办法》（建设部令第168号）七十六条</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划转</w:t>
            </w:r>
          </w:p>
          <w:p>
            <w:pPr>
              <w:jc w:val="center"/>
              <w:rPr>
                <w:rFonts w:asciiTheme="minorEastAsia" w:hAnsiTheme="minorEastAsia"/>
                <w:szCs w:val="21"/>
              </w:rPr>
            </w:pPr>
            <w:r>
              <w:rPr>
                <w:rFonts w:hint="eastAsia" w:asciiTheme="minorEastAsia" w:hAnsiTheme="minorEastAsia"/>
                <w:szCs w:val="21"/>
              </w:rPr>
              <w:t>职责划转给周口市不动产登记中心</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cs="宋体" w:asciiTheme="minorEastAsia" w:hAnsiTheme="minorEastAsia"/>
                <w:color w:val="000000"/>
                <w:kern w:val="0"/>
                <w:szCs w:val="21"/>
                <w:lang w:bidi="ar"/>
              </w:rPr>
            </w:pPr>
          </w:p>
        </w:tc>
      </w:tr>
      <w:tr>
        <w:tblPrEx>
          <w:tblCellMar>
            <w:top w:w="0" w:type="dxa"/>
            <w:left w:w="108" w:type="dxa"/>
            <w:bottom w:w="0" w:type="dxa"/>
            <w:right w:w="108" w:type="dxa"/>
          </w:tblCellMar>
        </w:tblPrEx>
        <w:trPr>
          <w:gridAfter w:val="2"/>
          <w:wAfter w:w="1488" w:type="dxa"/>
          <w:trHeight w:val="1035" w:hRule="atLeast"/>
        </w:trPr>
        <w:tc>
          <w:tcPr>
            <w:tcW w:w="477"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ascii="宋体" w:hAnsi="宋体" w:cs="宋体"/>
                <w:color w:val="000000"/>
                <w:kern w:val="0"/>
                <w:szCs w:val="21"/>
                <w:lang w:bidi="ar"/>
              </w:rPr>
            </w:pPr>
            <w:r>
              <w:rPr>
                <w:rFonts w:hint="eastAsia" w:ascii="宋体" w:hAnsi="宋体" w:cs="宋体"/>
                <w:color w:val="000000"/>
                <w:kern w:val="0"/>
                <w:szCs w:val="21"/>
                <w:lang w:bidi="ar"/>
              </w:rPr>
              <w:t>59</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集体土地房屋权属登记</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行政确认</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《房屋登记办法》（建设部令第168号）第八十二条</w:t>
            </w: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32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2400"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p>
        </w:tc>
        <w:tc>
          <w:tcPr>
            <w:tcW w:w="1676"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取消</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rFonts w:asciiTheme="minorEastAsia" w:hAnsiTheme="minorEastAsia"/>
                <w:szCs w:val="21"/>
              </w:rPr>
            </w:pPr>
            <w:r>
              <w:rPr>
                <w:rFonts w:hint="eastAsia" w:asciiTheme="minorEastAsia" w:hAnsiTheme="minorEastAsia"/>
                <w:szCs w:val="21"/>
              </w:rPr>
              <w:t>划转</w:t>
            </w:r>
          </w:p>
          <w:p>
            <w:pPr>
              <w:jc w:val="center"/>
              <w:rPr>
                <w:rFonts w:asciiTheme="minorEastAsia" w:hAnsiTheme="minorEastAsia"/>
                <w:szCs w:val="21"/>
              </w:rPr>
            </w:pPr>
            <w:r>
              <w:rPr>
                <w:rFonts w:hint="eastAsia" w:asciiTheme="minorEastAsia" w:hAnsiTheme="minorEastAsia"/>
                <w:szCs w:val="21"/>
              </w:rPr>
              <w:t>职责划转给周口市不动产登记中心</w:t>
            </w:r>
          </w:p>
        </w:tc>
        <w:tc>
          <w:tcPr>
            <w:tcW w:w="826" w:type="dxa"/>
            <w:tcBorders>
              <w:top w:val="single" w:color="auto" w:sz="4" w:space="0"/>
              <w:left w:val="single" w:color="auto" w:sz="4" w:space="0"/>
              <w:bottom w:val="single" w:color="auto" w:sz="4" w:space="0"/>
              <w:right w:val="single" w:color="auto" w:sz="4" w:space="0"/>
            </w:tcBorders>
            <w:vAlign w:val="center"/>
          </w:tcPr>
          <w:p>
            <w:pPr>
              <w:widowControl/>
              <w:spacing w:line="540" w:lineRule="exact"/>
              <w:jc w:val="center"/>
              <w:rPr>
                <w:rFonts w:cs="宋体" w:asciiTheme="minorEastAsia" w:hAnsiTheme="minorEastAsia"/>
                <w:color w:val="000000"/>
                <w:kern w:val="0"/>
                <w:szCs w:val="21"/>
                <w:lang w:bidi="ar"/>
              </w:rPr>
            </w:pPr>
          </w:p>
        </w:tc>
      </w:tr>
    </w:tbl>
    <w:p>
      <w:pPr>
        <w:jc w:val="center"/>
      </w:pPr>
    </w:p>
    <w:p>
      <w:pPr>
        <w:spacing w:line="560" w:lineRule="exact"/>
        <w:rPr>
          <w:rFonts w:ascii="仿宋_GB2312" w:hAnsi="仿宋_GB2312" w:eastAsia="仿宋_GB2312" w:cs="仿宋_GB2312"/>
          <w:sz w:val="32"/>
          <w:szCs w:val="32"/>
        </w:rPr>
      </w:pPr>
    </w:p>
    <w:p>
      <w:pPr>
        <w:spacing w:line="20" w:lineRule="exact"/>
        <w:rPr>
          <w:rFonts w:ascii="仿宋_GB2312" w:hAnsi="仿宋_GB2312" w:eastAsia="仿宋_GB2312" w:cs="仿宋_GB2312"/>
          <w:sz w:val="2"/>
          <w:szCs w:val="2"/>
        </w:rPr>
      </w:pPr>
    </w:p>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3BA0E3"/>
    <w:rsid w:val="3F3BA0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character" w:styleId="5">
    <w:name w:val="Strong"/>
    <w:basedOn w:val="4"/>
    <w:qFormat/>
    <w:uiPriority w:val="0"/>
    <w:rPr>
      <w:b/>
      <w:bC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2022-05-24T11:47:00Z</dcterms:created>
  <dc:creator>user</dc:creator>
  <cp:lastModifiedBy>user</cp:lastModifiedBy>
  <dcterms:modified xsi:type="dcterms:W3CDTF">2022-05-24T11:47:41Z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ies>
</file>